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5EBC19" w14:textId="77777777" w:rsidR="00005D55" w:rsidRDefault="00005D55"/>
    <w:p w14:paraId="386305BE" w14:textId="77777777" w:rsidR="00005D55" w:rsidRDefault="00005D55"/>
    <w:p w14:paraId="49E00AC3" w14:textId="77777777" w:rsidR="00005D55" w:rsidRDefault="00005D55">
      <w:pPr>
        <w:pStyle w:val="WW-Standard"/>
        <w:spacing w:before="240" w:after="0"/>
        <w:jc w:val="center"/>
      </w:pPr>
    </w:p>
    <w:p w14:paraId="3309B248" w14:textId="77777777" w:rsidR="00005D55" w:rsidRDefault="00BE446D">
      <w:pPr>
        <w:pStyle w:val="WW-Standard"/>
        <w:spacing w:before="240" w:after="0"/>
        <w:jc w:val="center"/>
      </w:pPr>
      <w:r>
        <w:rPr>
          <w:rFonts w:ascii="Calibri" w:hAnsi="Calibri" w:cs="Calibri"/>
          <w:b/>
          <w:color w:val="3CB6EC"/>
          <w:sz w:val="52"/>
          <w:szCs w:val="40"/>
        </w:rPr>
        <w:t xml:space="preserve">FONDS MOBILITES ACTIVES </w:t>
      </w:r>
    </w:p>
    <w:p w14:paraId="16094D06" w14:textId="6688396F" w:rsidR="00005D55" w:rsidRDefault="00BE446D">
      <w:pPr>
        <w:pStyle w:val="WW-Standard"/>
        <w:spacing w:before="240" w:after="0"/>
        <w:jc w:val="center"/>
        <w:rPr>
          <w:rFonts w:ascii="Calibri" w:hAnsi="Calibri" w:cs="Calibri"/>
          <w:b/>
          <w:color w:val="3CB6EC"/>
          <w:sz w:val="40"/>
          <w:szCs w:val="40"/>
        </w:rPr>
      </w:pPr>
      <w:r>
        <w:rPr>
          <w:rFonts w:ascii="Calibri" w:hAnsi="Calibri" w:cs="Calibri"/>
          <w:b/>
          <w:color w:val="3CB6EC"/>
          <w:sz w:val="40"/>
          <w:szCs w:val="40"/>
        </w:rPr>
        <w:t>7</w:t>
      </w:r>
      <w:r>
        <w:rPr>
          <w:rFonts w:ascii="Calibri" w:hAnsi="Calibri" w:cs="Calibri"/>
          <w:b/>
          <w:color w:val="3CB6EC"/>
          <w:sz w:val="40"/>
          <w:szCs w:val="40"/>
          <w:vertAlign w:val="superscript"/>
        </w:rPr>
        <w:t>ème</w:t>
      </w:r>
      <w:r>
        <w:rPr>
          <w:rFonts w:ascii="Calibri" w:hAnsi="Calibri" w:cs="Calibri"/>
          <w:b/>
          <w:color w:val="3CB6EC"/>
          <w:sz w:val="40"/>
          <w:szCs w:val="40"/>
        </w:rPr>
        <w:t xml:space="preserve"> appel à projets</w:t>
      </w:r>
    </w:p>
    <w:p w14:paraId="7DDCA2FD" w14:textId="77777777" w:rsidR="00005D55" w:rsidRDefault="00BE446D">
      <w:pPr>
        <w:pStyle w:val="WW-Standard"/>
        <w:spacing w:before="240" w:after="0"/>
        <w:jc w:val="center"/>
      </w:pPr>
      <w:r>
        <w:rPr>
          <w:rFonts w:ascii="Calibri" w:hAnsi="Calibri" w:cs="Calibri"/>
          <w:b/>
          <w:color w:val="3CB6EC"/>
          <w:sz w:val="40"/>
          <w:szCs w:val="40"/>
        </w:rPr>
        <w:t>Aménagements cyclables</w:t>
      </w:r>
    </w:p>
    <w:p w14:paraId="1465AC83" w14:textId="77777777" w:rsidR="00005D55" w:rsidRDefault="00005D55">
      <w:pPr>
        <w:pStyle w:val="WW-Standard"/>
        <w:spacing w:before="240" w:after="0"/>
        <w:jc w:val="center"/>
        <w:rPr>
          <w:rFonts w:ascii="Calibri" w:hAnsi="Calibri" w:cs="Calibri"/>
          <w:b/>
          <w:color w:val="3CB6EC"/>
          <w:sz w:val="40"/>
          <w:szCs w:val="40"/>
        </w:rPr>
      </w:pPr>
    </w:p>
    <w:p w14:paraId="1B97E6F2" w14:textId="77777777" w:rsidR="00005D55" w:rsidRDefault="00005D55">
      <w:pPr>
        <w:pStyle w:val="WW-Standard"/>
        <w:spacing w:before="240" w:after="0"/>
        <w:jc w:val="center"/>
      </w:pPr>
    </w:p>
    <w:p w14:paraId="2D83A516" w14:textId="08519C52" w:rsidR="00005D55" w:rsidRDefault="00BE446D">
      <w:pPr>
        <w:pStyle w:val="En-ttedetabledesmatires11"/>
        <w:spacing w:before="240"/>
        <w:jc w:val="center"/>
      </w:pPr>
      <w:r>
        <w:rPr>
          <w:rFonts w:ascii="Calibri" w:hAnsi="Calibri" w:cs="Calibri"/>
          <w:b/>
          <w:color w:val="3CB6EC"/>
          <w:sz w:val="32"/>
        </w:rPr>
        <w:t xml:space="preserve">Date de dépôt des dossiers : du </w:t>
      </w:r>
      <w:r>
        <w:rPr>
          <w:rFonts w:ascii="Calibri" w:hAnsi="Calibri" w:cs="Calibri"/>
          <w:b/>
          <w:color w:val="3CB6EC"/>
          <w:sz w:val="32"/>
        </w:rPr>
        <w:tab/>
        <w:t>22/11/2023 au 08/03/202</w:t>
      </w:r>
      <w:r w:rsidR="009C750E">
        <w:rPr>
          <w:rFonts w:ascii="Calibri" w:hAnsi="Calibri" w:cs="Calibri"/>
          <w:b/>
          <w:color w:val="3CB6EC"/>
          <w:sz w:val="32"/>
        </w:rPr>
        <w:t>4</w:t>
      </w:r>
      <w:r>
        <w:rPr>
          <w:rFonts w:ascii="Calibri" w:hAnsi="Calibri" w:cs="Calibri"/>
          <w:b/>
          <w:color w:val="3CB6EC"/>
          <w:sz w:val="32"/>
        </w:rPr>
        <w:t xml:space="preserve"> </w:t>
      </w:r>
    </w:p>
    <w:p w14:paraId="2E61084C" w14:textId="77777777" w:rsidR="00005D55" w:rsidRDefault="00005D55">
      <w:pPr>
        <w:jc w:val="center"/>
        <w:rPr>
          <w:rFonts w:cs="Arial"/>
          <w:b/>
          <w:i/>
          <w:color w:val="3CB6EC"/>
          <w:sz w:val="32"/>
        </w:rPr>
      </w:pPr>
    </w:p>
    <w:p w14:paraId="5B881423" w14:textId="77777777" w:rsidR="00005D55" w:rsidRDefault="00BE446D">
      <w:pPr>
        <w:jc w:val="center"/>
        <w:rPr>
          <w:rStyle w:val="Policepardfaut7"/>
          <w:rFonts w:cs="Arial"/>
          <w:i/>
        </w:rPr>
      </w:pPr>
      <w:r>
        <w:t>https://www.demarches-simplifiees.fr/commencer/aap-amenagements-cyclables2024</w:t>
      </w:r>
    </w:p>
    <w:p w14:paraId="0E797C54" w14:textId="77777777" w:rsidR="00005D55" w:rsidRDefault="00005D55">
      <w:pPr>
        <w:rPr>
          <w:rFonts w:cs="Arial"/>
          <w:i/>
          <w:color w:val="3CB6EC"/>
        </w:rPr>
      </w:pPr>
    </w:p>
    <w:p w14:paraId="65A34E6C" w14:textId="77777777" w:rsidR="00005D55" w:rsidRDefault="00005D55">
      <w:pPr>
        <w:pStyle w:val="WW-Standard"/>
        <w:spacing w:before="240" w:after="0"/>
        <w:jc w:val="center"/>
        <w:rPr>
          <w:rFonts w:ascii="Calibri" w:hAnsi="Calibri" w:cs="Calibri"/>
          <w:i/>
          <w:color w:val="3CB6EC"/>
          <w:sz w:val="32"/>
          <w:szCs w:val="40"/>
        </w:rPr>
      </w:pPr>
    </w:p>
    <w:p w14:paraId="45047002" w14:textId="77777777" w:rsidR="00005D55" w:rsidRDefault="00005D55">
      <w:pPr>
        <w:rPr>
          <w:rFonts w:cs="Arial"/>
          <w:i/>
          <w:color w:val="3CB6EC"/>
          <w:sz w:val="32"/>
          <w:szCs w:val="40"/>
        </w:rPr>
      </w:pPr>
    </w:p>
    <w:p w14:paraId="5649D058" w14:textId="057A879F" w:rsidR="00005D55" w:rsidRDefault="00BE446D">
      <w:pPr>
        <w:pStyle w:val="NormalWeb"/>
        <w:spacing w:after="0" w:line="240" w:lineRule="auto"/>
        <w:rPr>
          <w:i/>
        </w:rPr>
      </w:pPr>
      <w:r>
        <w:rPr>
          <w:i/>
        </w:rPr>
        <w:t xml:space="preserve">Une page de questions fréquentes est disponible et mise à jour sur </w:t>
      </w:r>
      <w:hyperlink r:id="rId8">
        <w:r>
          <w:rPr>
            <w:rStyle w:val="LienInternet"/>
            <w:i/>
          </w:rPr>
          <w:t>https://www.ecologie.gouv.fr/appels-projets-fonds-mobilites-actives-amenagements-cyclables</w:t>
        </w:r>
      </w:hyperlink>
      <w:r>
        <w:rPr>
          <w:i/>
        </w:rPr>
        <w:t xml:space="preserve"> </w:t>
      </w:r>
    </w:p>
    <w:p w14:paraId="68CAB514" w14:textId="77777777" w:rsidR="00005D55" w:rsidRDefault="00BE446D">
      <w:pPr>
        <w:pStyle w:val="NormalWeb"/>
        <w:spacing w:after="0" w:line="240" w:lineRule="auto"/>
        <w:rPr>
          <w:i/>
        </w:rPr>
      </w:pPr>
      <w:r>
        <w:rPr>
          <w:i/>
        </w:rPr>
        <w:t>Vous êtes invité à tester l’éligibilité de votre projet sur cette même page internet avant le dépôt du dossier.</w:t>
      </w:r>
    </w:p>
    <w:p w14:paraId="4391BCCC" w14:textId="77777777" w:rsidR="00005D55" w:rsidRDefault="00BE446D">
      <w:pPr>
        <w:pStyle w:val="NormalWeb"/>
        <w:spacing w:after="0" w:line="240" w:lineRule="auto"/>
        <w:rPr>
          <w:rFonts w:ascii="Calibri" w:hAnsi="Calibri" w:cs="Calibri"/>
          <w:i/>
        </w:rPr>
      </w:pPr>
      <w:r>
        <w:rPr>
          <w:i/>
        </w:rPr>
        <w:t>Toute demande de renseignements concernant cet appel à projets doit être formulée auprès du service de l’Etat régionalement compétent (tableau des contacts en annexe 8)</w:t>
      </w:r>
      <w:r>
        <w:rPr>
          <w:rFonts w:ascii="Calibri" w:hAnsi="Calibri" w:cs="Calibri"/>
          <w:i/>
        </w:rPr>
        <w:t> </w:t>
      </w:r>
    </w:p>
    <w:p w14:paraId="4904B39A" w14:textId="77777777" w:rsidR="00005D55" w:rsidRDefault="00005D55">
      <w:pPr>
        <w:pStyle w:val="western"/>
        <w:spacing w:before="240" w:after="0"/>
        <w:rPr>
          <w:rFonts w:ascii="Calibri" w:hAnsi="Calibri" w:cs="Calibri"/>
          <w:i/>
        </w:rPr>
      </w:pPr>
    </w:p>
    <w:p w14:paraId="546AFE73" w14:textId="77777777" w:rsidR="00005D55" w:rsidRDefault="00BE446D">
      <w:pPr>
        <w:pStyle w:val="western"/>
        <w:spacing w:before="240" w:after="0"/>
        <w:rPr>
          <w:rFonts w:ascii="Calibri" w:hAnsi="Calibri" w:cs="Calibri"/>
          <w:i/>
        </w:rPr>
      </w:pPr>
      <w:r w:rsidRPr="00E721F8">
        <w:br w:type="page"/>
      </w:r>
    </w:p>
    <w:p w14:paraId="27B06403" w14:textId="77777777" w:rsidR="00005D55" w:rsidRDefault="00BE446D">
      <w:pPr>
        <w:pStyle w:val="Titre1"/>
        <w:numPr>
          <w:ilvl w:val="0"/>
          <w:numId w:val="0"/>
        </w:numPr>
        <w:spacing w:before="480" w:after="0"/>
        <w:ind w:left="720"/>
        <w:rPr>
          <w:rFonts w:ascii="Calibri" w:hAnsi="Calibri" w:cs="Calibri"/>
          <w:caps w:val="0"/>
        </w:rPr>
      </w:pPr>
      <w:bookmarkStart w:id="0" w:name="_Toc121221258"/>
      <w:bookmarkStart w:id="1" w:name="_Toc71566253"/>
      <w:bookmarkStart w:id="2" w:name="_Toc151019599"/>
      <w:r>
        <w:rPr>
          <w:rFonts w:ascii="Calibri" w:hAnsi="Calibri" w:cs="Calibri"/>
          <w:caps w:val="0"/>
        </w:rPr>
        <w:lastRenderedPageBreak/>
        <w:t>TABLE DES MATIERES</w:t>
      </w:r>
      <w:bookmarkEnd w:id="0"/>
      <w:bookmarkEnd w:id="1"/>
      <w:bookmarkEnd w:id="2"/>
    </w:p>
    <w:p w14:paraId="34F97F96" w14:textId="77777777" w:rsidR="00005D55" w:rsidRDefault="00005D55">
      <w:pPr>
        <w:pStyle w:val="Corpsdetexte"/>
      </w:pPr>
    </w:p>
    <w:p w14:paraId="62A075AE" w14:textId="77777777" w:rsidR="00005D55" w:rsidRDefault="00005D55">
      <w:pPr>
        <w:pStyle w:val="Corpsdetexte"/>
      </w:pPr>
    </w:p>
    <w:sdt>
      <w:sdtPr>
        <w:id w:val="-2071805235"/>
        <w:docPartObj>
          <w:docPartGallery w:val="Table of Contents"/>
          <w:docPartUnique/>
        </w:docPartObj>
      </w:sdtPr>
      <w:sdtEndPr/>
      <w:sdtContent>
        <w:p w14:paraId="526897CB" w14:textId="77777777" w:rsidR="009275D4" w:rsidRDefault="00BE446D">
          <w:pPr>
            <w:pStyle w:val="TM1"/>
            <w:tabs>
              <w:tab w:val="right" w:leader="dot" w:pos="9062"/>
            </w:tabs>
            <w:rPr>
              <w:rFonts w:asciiTheme="minorHAnsi" w:eastAsiaTheme="minorEastAsia" w:hAnsiTheme="minorHAnsi" w:cstheme="minorBidi"/>
              <w:noProof/>
              <w:lang w:eastAsia="fr-FR"/>
            </w:rPr>
          </w:pPr>
          <w:r>
            <w:fldChar w:fldCharType="begin"/>
          </w:r>
          <w:r>
            <w:rPr>
              <w:rStyle w:val="Sautdindex"/>
            </w:rPr>
            <w:instrText xml:space="preserve"> TOC \o "1-9" \h</w:instrText>
          </w:r>
          <w:r w:rsidRPr="00E721F8">
            <w:rPr>
              <w:rStyle w:val="Sautdindex"/>
            </w:rPr>
            <w:fldChar w:fldCharType="separate"/>
          </w:r>
          <w:hyperlink w:anchor="_Toc151019599" w:history="1">
            <w:r w:rsidR="009275D4" w:rsidRPr="004B3C21">
              <w:rPr>
                <w:rStyle w:val="Lienhypertexte"/>
                <w:rFonts w:cs="Calibri"/>
                <w:noProof/>
              </w:rPr>
              <w:t>TABLE DES MATIERES</w:t>
            </w:r>
            <w:r w:rsidR="009275D4">
              <w:rPr>
                <w:noProof/>
              </w:rPr>
              <w:tab/>
            </w:r>
            <w:r w:rsidR="009275D4">
              <w:rPr>
                <w:noProof/>
              </w:rPr>
              <w:fldChar w:fldCharType="begin"/>
            </w:r>
            <w:r w:rsidR="009275D4">
              <w:rPr>
                <w:noProof/>
              </w:rPr>
              <w:instrText xml:space="preserve"> PAGEREF _Toc151019599 \h </w:instrText>
            </w:r>
            <w:r w:rsidR="009275D4">
              <w:rPr>
                <w:noProof/>
              </w:rPr>
            </w:r>
            <w:r w:rsidR="009275D4">
              <w:rPr>
                <w:noProof/>
              </w:rPr>
              <w:fldChar w:fldCharType="separate"/>
            </w:r>
            <w:r w:rsidR="009275D4">
              <w:rPr>
                <w:noProof/>
              </w:rPr>
              <w:t>2</w:t>
            </w:r>
            <w:r w:rsidR="009275D4">
              <w:rPr>
                <w:noProof/>
              </w:rPr>
              <w:fldChar w:fldCharType="end"/>
            </w:r>
          </w:hyperlink>
        </w:p>
        <w:p w14:paraId="11942AB4" w14:textId="77777777" w:rsidR="009275D4" w:rsidRDefault="002877C6">
          <w:pPr>
            <w:pStyle w:val="TM1"/>
            <w:tabs>
              <w:tab w:val="left" w:pos="566"/>
              <w:tab w:val="right" w:leader="dot" w:pos="9062"/>
            </w:tabs>
            <w:rPr>
              <w:rFonts w:asciiTheme="minorHAnsi" w:eastAsiaTheme="minorEastAsia" w:hAnsiTheme="minorHAnsi" w:cstheme="minorBidi"/>
              <w:noProof/>
              <w:lang w:eastAsia="fr-FR"/>
            </w:rPr>
          </w:pPr>
          <w:hyperlink w:anchor="_Toc151019600" w:history="1">
            <w:r w:rsidR="009275D4" w:rsidRPr="004B3C21">
              <w:rPr>
                <w:rStyle w:val="Lienhypertexte"/>
                <w:noProof/>
              </w:rPr>
              <w:t>A.</w:t>
            </w:r>
            <w:r w:rsidR="009275D4">
              <w:rPr>
                <w:rFonts w:asciiTheme="minorHAnsi" w:eastAsiaTheme="minorEastAsia" w:hAnsiTheme="minorHAnsi" w:cstheme="minorBidi"/>
                <w:noProof/>
                <w:lang w:eastAsia="fr-FR"/>
              </w:rPr>
              <w:tab/>
            </w:r>
            <w:r w:rsidR="009275D4" w:rsidRPr="004B3C21">
              <w:rPr>
                <w:rStyle w:val="Lienhypertexte"/>
                <w:rFonts w:cs="Calibri"/>
                <w:noProof/>
              </w:rPr>
              <w:t>CONTEXTE ET ENJEUX</w:t>
            </w:r>
            <w:r w:rsidR="009275D4">
              <w:rPr>
                <w:noProof/>
              </w:rPr>
              <w:tab/>
            </w:r>
            <w:r w:rsidR="009275D4">
              <w:rPr>
                <w:noProof/>
              </w:rPr>
              <w:fldChar w:fldCharType="begin"/>
            </w:r>
            <w:r w:rsidR="009275D4">
              <w:rPr>
                <w:noProof/>
              </w:rPr>
              <w:instrText xml:space="preserve"> PAGEREF _Toc151019600 \h </w:instrText>
            </w:r>
            <w:r w:rsidR="009275D4">
              <w:rPr>
                <w:noProof/>
              </w:rPr>
            </w:r>
            <w:r w:rsidR="009275D4">
              <w:rPr>
                <w:noProof/>
              </w:rPr>
              <w:fldChar w:fldCharType="separate"/>
            </w:r>
            <w:r w:rsidR="009275D4">
              <w:rPr>
                <w:noProof/>
              </w:rPr>
              <w:t>3</w:t>
            </w:r>
            <w:r w:rsidR="009275D4">
              <w:rPr>
                <w:noProof/>
              </w:rPr>
              <w:fldChar w:fldCharType="end"/>
            </w:r>
          </w:hyperlink>
        </w:p>
        <w:p w14:paraId="7C36FAB4" w14:textId="77777777" w:rsidR="009275D4" w:rsidRDefault="002877C6">
          <w:pPr>
            <w:pStyle w:val="TM1"/>
            <w:tabs>
              <w:tab w:val="left" w:pos="566"/>
              <w:tab w:val="right" w:leader="dot" w:pos="9062"/>
            </w:tabs>
            <w:rPr>
              <w:rFonts w:asciiTheme="minorHAnsi" w:eastAsiaTheme="minorEastAsia" w:hAnsiTheme="minorHAnsi" w:cstheme="minorBidi"/>
              <w:noProof/>
              <w:lang w:eastAsia="fr-FR"/>
            </w:rPr>
          </w:pPr>
          <w:hyperlink w:anchor="_Toc151019601" w:history="1">
            <w:r w:rsidR="009275D4" w:rsidRPr="004B3C21">
              <w:rPr>
                <w:rStyle w:val="Lienhypertexte"/>
                <w:rFonts w:cs="Calibri"/>
                <w:noProof/>
              </w:rPr>
              <w:t>B.</w:t>
            </w:r>
            <w:r w:rsidR="009275D4">
              <w:rPr>
                <w:rFonts w:asciiTheme="minorHAnsi" w:eastAsiaTheme="minorEastAsia" w:hAnsiTheme="minorHAnsi" w:cstheme="minorBidi"/>
                <w:noProof/>
                <w:lang w:eastAsia="fr-FR"/>
              </w:rPr>
              <w:tab/>
            </w:r>
            <w:r w:rsidR="009275D4" w:rsidRPr="004B3C21">
              <w:rPr>
                <w:rStyle w:val="Lienhypertexte"/>
                <w:rFonts w:cs="Calibri"/>
                <w:noProof/>
              </w:rPr>
              <w:t>OBJECTIF DE L’APPEL À PROJETS</w:t>
            </w:r>
            <w:r w:rsidR="009275D4">
              <w:rPr>
                <w:noProof/>
              </w:rPr>
              <w:tab/>
            </w:r>
            <w:r w:rsidR="009275D4">
              <w:rPr>
                <w:noProof/>
              </w:rPr>
              <w:fldChar w:fldCharType="begin"/>
            </w:r>
            <w:r w:rsidR="009275D4">
              <w:rPr>
                <w:noProof/>
              </w:rPr>
              <w:instrText xml:space="preserve"> PAGEREF _Toc151019601 \h </w:instrText>
            </w:r>
            <w:r w:rsidR="009275D4">
              <w:rPr>
                <w:noProof/>
              </w:rPr>
            </w:r>
            <w:r w:rsidR="009275D4">
              <w:rPr>
                <w:noProof/>
              </w:rPr>
              <w:fldChar w:fldCharType="separate"/>
            </w:r>
            <w:r w:rsidR="009275D4">
              <w:rPr>
                <w:noProof/>
              </w:rPr>
              <w:t>4</w:t>
            </w:r>
            <w:r w:rsidR="009275D4">
              <w:rPr>
                <w:noProof/>
              </w:rPr>
              <w:fldChar w:fldCharType="end"/>
            </w:r>
          </w:hyperlink>
        </w:p>
        <w:p w14:paraId="643CB7E3" w14:textId="77777777" w:rsidR="009275D4" w:rsidRDefault="002877C6">
          <w:pPr>
            <w:pStyle w:val="TM1"/>
            <w:tabs>
              <w:tab w:val="left" w:pos="566"/>
              <w:tab w:val="right" w:leader="dot" w:pos="9062"/>
            </w:tabs>
            <w:rPr>
              <w:rFonts w:asciiTheme="minorHAnsi" w:eastAsiaTheme="minorEastAsia" w:hAnsiTheme="minorHAnsi" w:cstheme="minorBidi"/>
              <w:noProof/>
              <w:lang w:eastAsia="fr-FR"/>
            </w:rPr>
          </w:pPr>
          <w:hyperlink w:anchor="_Toc151019602" w:history="1">
            <w:r w:rsidR="009275D4" w:rsidRPr="004B3C21">
              <w:rPr>
                <w:rStyle w:val="Lienhypertexte"/>
                <w:noProof/>
              </w:rPr>
              <w:t>C.</w:t>
            </w:r>
            <w:r w:rsidR="009275D4">
              <w:rPr>
                <w:rFonts w:asciiTheme="minorHAnsi" w:eastAsiaTheme="minorEastAsia" w:hAnsiTheme="minorHAnsi" w:cstheme="minorBidi"/>
                <w:noProof/>
                <w:lang w:eastAsia="fr-FR"/>
              </w:rPr>
              <w:tab/>
            </w:r>
            <w:r w:rsidR="009275D4" w:rsidRPr="004B3C21">
              <w:rPr>
                <w:rStyle w:val="Lienhypertexte"/>
                <w:rFonts w:cs="Calibri"/>
                <w:noProof/>
              </w:rPr>
              <w:t>CARACTERISTIQUES DES PROJETS</w:t>
            </w:r>
            <w:r w:rsidR="009275D4">
              <w:rPr>
                <w:noProof/>
              </w:rPr>
              <w:tab/>
            </w:r>
            <w:r w:rsidR="009275D4">
              <w:rPr>
                <w:noProof/>
              </w:rPr>
              <w:fldChar w:fldCharType="begin"/>
            </w:r>
            <w:r w:rsidR="009275D4">
              <w:rPr>
                <w:noProof/>
              </w:rPr>
              <w:instrText xml:space="preserve"> PAGEREF _Toc151019602 \h </w:instrText>
            </w:r>
            <w:r w:rsidR="009275D4">
              <w:rPr>
                <w:noProof/>
              </w:rPr>
            </w:r>
            <w:r w:rsidR="009275D4">
              <w:rPr>
                <w:noProof/>
              </w:rPr>
              <w:fldChar w:fldCharType="separate"/>
            </w:r>
            <w:r w:rsidR="009275D4">
              <w:rPr>
                <w:noProof/>
              </w:rPr>
              <w:t>4</w:t>
            </w:r>
            <w:r w:rsidR="009275D4">
              <w:rPr>
                <w:noProof/>
              </w:rPr>
              <w:fldChar w:fldCharType="end"/>
            </w:r>
          </w:hyperlink>
        </w:p>
        <w:p w14:paraId="086759E8"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03" w:history="1">
            <w:r w:rsidR="009275D4" w:rsidRPr="004B3C21">
              <w:rPr>
                <w:rStyle w:val="Lienhypertexte"/>
                <w:noProof/>
              </w:rPr>
              <w:t>C.1.</w:t>
            </w:r>
            <w:r w:rsidR="009275D4">
              <w:rPr>
                <w:rFonts w:asciiTheme="minorHAnsi" w:eastAsiaTheme="minorEastAsia" w:hAnsiTheme="minorHAnsi" w:cstheme="minorBidi"/>
                <w:noProof/>
                <w:lang w:eastAsia="fr-FR"/>
              </w:rPr>
              <w:tab/>
            </w:r>
            <w:r w:rsidR="009275D4" w:rsidRPr="004B3C21">
              <w:rPr>
                <w:rStyle w:val="Lienhypertexte"/>
                <w:noProof/>
              </w:rPr>
              <w:t>Typologie de projets éligibles</w:t>
            </w:r>
            <w:r w:rsidR="009275D4">
              <w:rPr>
                <w:noProof/>
              </w:rPr>
              <w:tab/>
            </w:r>
            <w:r w:rsidR="009275D4">
              <w:rPr>
                <w:noProof/>
              </w:rPr>
              <w:fldChar w:fldCharType="begin"/>
            </w:r>
            <w:r w:rsidR="009275D4">
              <w:rPr>
                <w:noProof/>
              </w:rPr>
              <w:instrText xml:space="preserve"> PAGEREF _Toc151019603 \h </w:instrText>
            </w:r>
            <w:r w:rsidR="009275D4">
              <w:rPr>
                <w:noProof/>
              </w:rPr>
            </w:r>
            <w:r w:rsidR="009275D4">
              <w:rPr>
                <w:noProof/>
              </w:rPr>
              <w:fldChar w:fldCharType="separate"/>
            </w:r>
            <w:r w:rsidR="009275D4">
              <w:rPr>
                <w:noProof/>
              </w:rPr>
              <w:t>4</w:t>
            </w:r>
            <w:r w:rsidR="009275D4">
              <w:rPr>
                <w:noProof/>
              </w:rPr>
              <w:fldChar w:fldCharType="end"/>
            </w:r>
          </w:hyperlink>
        </w:p>
        <w:p w14:paraId="7FF0D5F8"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04" w:history="1">
            <w:r w:rsidR="009275D4" w:rsidRPr="004B3C21">
              <w:rPr>
                <w:rStyle w:val="Lienhypertexte"/>
                <w:noProof/>
              </w:rPr>
              <w:t>C.2.</w:t>
            </w:r>
            <w:r w:rsidR="009275D4">
              <w:rPr>
                <w:rFonts w:asciiTheme="minorHAnsi" w:eastAsiaTheme="minorEastAsia" w:hAnsiTheme="minorHAnsi" w:cstheme="minorBidi"/>
                <w:noProof/>
                <w:lang w:eastAsia="fr-FR"/>
              </w:rPr>
              <w:tab/>
            </w:r>
            <w:r w:rsidR="009275D4" w:rsidRPr="004B3C21">
              <w:rPr>
                <w:rStyle w:val="Lienhypertexte"/>
                <w:noProof/>
              </w:rPr>
              <w:t>Calendrier des projets éligibles</w:t>
            </w:r>
            <w:r w:rsidR="009275D4">
              <w:rPr>
                <w:noProof/>
              </w:rPr>
              <w:tab/>
            </w:r>
            <w:r w:rsidR="009275D4">
              <w:rPr>
                <w:noProof/>
              </w:rPr>
              <w:fldChar w:fldCharType="begin"/>
            </w:r>
            <w:r w:rsidR="009275D4">
              <w:rPr>
                <w:noProof/>
              </w:rPr>
              <w:instrText xml:space="preserve"> PAGEREF _Toc151019604 \h </w:instrText>
            </w:r>
            <w:r w:rsidR="009275D4">
              <w:rPr>
                <w:noProof/>
              </w:rPr>
            </w:r>
            <w:r w:rsidR="009275D4">
              <w:rPr>
                <w:noProof/>
              </w:rPr>
              <w:fldChar w:fldCharType="separate"/>
            </w:r>
            <w:r w:rsidR="009275D4">
              <w:rPr>
                <w:noProof/>
              </w:rPr>
              <w:t>5</w:t>
            </w:r>
            <w:r w:rsidR="009275D4">
              <w:rPr>
                <w:noProof/>
              </w:rPr>
              <w:fldChar w:fldCharType="end"/>
            </w:r>
          </w:hyperlink>
        </w:p>
        <w:p w14:paraId="554D903E"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05" w:history="1">
            <w:r w:rsidR="009275D4" w:rsidRPr="004B3C21">
              <w:rPr>
                <w:rStyle w:val="Lienhypertexte"/>
                <w:rFonts w:cs="Century Gothic"/>
                <w:noProof/>
              </w:rPr>
              <w:t>C.3.</w:t>
            </w:r>
            <w:r w:rsidR="009275D4">
              <w:rPr>
                <w:rFonts w:asciiTheme="minorHAnsi" w:eastAsiaTheme="minorEastAsia" w:hAnsiTheme="minorHAnsi" w:cstheme="minorBidi"/>
                <w:noProof/>
                <w:lang w:eastAsia="fr-FR"/>
              </w:rPr>
              <w:tab/>
            </w:r>
            <w:r w:rsidR="009275D4" w:rsidRPr="004B3C21">
              <w:rPr>
                <w:rStyle w:val="Lienhypertexte"/>
                <w:noProof/>
              </w:rPr>
              <w:t>Inscription dans la politique cyclable</w:t>
            </w:r>
            <w:r w:rsidR="009275D4">
              <w:rPr>
                <w:noProof/>
              </w:rPr>
              <w:tab/>
            </w:r>
            <w:r w:rsidR="009275D4">
              <w:rPr>
                <w:noProof/>
              </w:rPr>
              <w:fldChar w:fldCharType="begin"/>
            </w:r>
            <w:r w:rsidR="009275D4">
              <w:rPr>
                <w:noProof/>
              </w:rPr>
              <w:instrText xml:space="preserve"> PAGEREF _Toc151019605 \h </w:instrText>
            </w:r>
            <w:r w:rsidR="009275D4">
              <w:rPr>
                <w:noProof/>
              </w:rPr>
            </w:r>
            <w:r w:rsidR="009275D4">
              <w:rPr>
                <w:noProof/>
              </w:rPr>
              <w:fldChar w:fldCharType="separate"/>
            </w:r>
            <w:r w:rsidR="009275D4">
              <w:rPr>
                <w:noProof/>
              </w:rPr>
              <w:t>5</w:t>
            </w:r>
            <w:r w:rsidR="009275D4">
              <w:rPr>
                <w:noProof/>
              </w:rPr>
              <w:fldChar w:fldCharType="end"/>
            </w:r>
          </w:hyperlink>
        </w:p>
        <w:p w14:paraId="1BA36BD3"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06" w:history="1">
            <w:r w:rsidR="009275D4" w:rsidRPr="004B3C21">
              <w:rPr>
                <w:rStyle w:val="Lienhypertexte"/>
                <w:noProof/>
              </w:rPr>
              <w:t>C.4.</w:t>
            </w:r>
            <w:r w:rsidR="009275D4">
              <w:rPr>
                <w:rFonts w:asciiTheme="minorHAnsi" w:eastAsiaTheme="minorEastAsia" w:hAnsiTheme="minorHAnsi" w:cstheme="minorBidi"/>
                <w:noProof/>
                <w:lang w:eastAsia="fr-FR"/>
              </w:rPr>
              <w:tab/>
            </w:r>
            <w:r w:rsidR="009275D4" w:rsidRPr="004B3C21">
              <w:rPr>
                <w:rStyle w:val="Lienhypertexte"/>
                <w:rFonts w:cs="Century Gothic"/>
                <w:noProof/>
              </w:rPr>
              <w:t>Diagnostic territorial</w:t>
            </w:r>
            <w:r w:rsidR="009275D4">
              <w:rPr>
                <w:noProof/>
              </w:rPr>
              <w:tab/>
            </w:r>
            <w:r w:rsidR="009275D4">
              <w:rPr>
                <w:noProof/>
              </w:rPr>
              <w:fldChar w:fldCharType="begin"/>
            </w:r>
            <w:r w:rsidR="009275D4">
              <w:rPr>
                <w:noProof/>
              </w:rPr>
              <w:instrText xml:space="preserve"> PAGEREF _Toc151019606 \h </w:instrText>
            </w:r>
            <w:r w:rsidR="009275D4">
              <w:rPr>
                <w:noProof/>
              </w:rPr>
            </w:r>
            <w:r w:rsidR="009275D4">
              <w:rPr>
                <w:noProof/>
              </w:rPr>
              <w:fldChar w:fldCharType="separate"/>
            </w:r>
            <w:r w:rsidR="009275D4">
              <w:rPr>
                <w:noProof/>
              </w:rPr>
              <w:t>5</w:t>
            </w:r>
            <w:r w:rsidR="009275D4">
              <w:rPr>
                <w:noProof/>
              </w:rPr>
              <w:fldChar w:fldCharType="end"/>
            </w:r>
          </w:hyperlink>
        </w:p>
        <w:p w14:paraId="676C3433"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07" w:history="1">
            <w:r w:rsidR="009275D4" w:rsidRPr="004B3C21">
              <w:rPr>
                <w:rStyle w:val="Lienhypertexte"/>
                <w:noProof/>
              </w:rPr>
              <w:t>C.5.</w:t>
            </w:r>
            <w:r w:rsidR="009275D4">
              <w:rPr>
                <w:rFonts w:asciiTheme="minorHAnsi" w:eastAsiaTheme="minorEastAsia" w:hAnsiTheme="minorHAnsi" w:cstheme="minorBidi"/>
                <w:noProof/>
                <w:lang w:eastAsia="fr-FR"/>
              </w:rPr>
              <w:tab/>
            </w:r>
            <w:r w:rsidR="009275D4" w:rsidRPr="004B3C21">
              <w:rPr>
                <w:rStyle w:val="Lienhypertexte"/>
                <w:noProof/>
              </w:rPr>
              <w:t>Impacts sur la fréquentation</w:t>
            </w:r>
            <w:r w:rsidR="009275D4">
              <w:rPr>
                <w:noProof/>
              </w:rPr>
              <w:tab/>
            </w:r>
            <w:r w:rsidR="009275D4">
              <w:rPr>
                <w:noProof/>
              </w:rPr>
              <w:fldChar w:fldCharType="begin"/>
            </w:r>
            <w:r w:rsidR="009275D4">
              <w:rPr>
                <w:noProof/>
              </w:rPr>
              <w:instrText xml:space="preserve"> PAGEREF _Toc151019607 \h </w:instrText>
            </w:r>
            <w:r w:rsidR="009275D4">
              <w:rPr>
                <w:noProof/>
              </w:rPr>
            </w:r>
            <w:r w:rsidR="009275D4">
              <w:rPr>
                <w:noProof/>
              </w:rPr>
              <w:fldChar w:fldCharType="separate"/>
            </w:r>
            <w:r w:rsidR="009275D4">
              <w:rPr>
                <w:noProof/>
              </w:rPr>
              <w:t>5</w:t>
            </w:r>
            <w:r w:rsidR="009275D4">
              <w:rPr>
                <w:noProof/>
              </w:rPr>
              <w:fldChar w:fldCharType="end"/>
            </w:r>
          </w:hyperlink>
        </w:p>
        <w:p w14:paraId="3D1B6B5C"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08" w:history="1">
            <w:r w:rsidR="009275D4" w:rsidRPr="004B3C21">
              <w:rPr>
                <w:rStyle w:val="Lienhypertexte"/>
                <w:noProof/>
              </w:rPr>
              <w:t>C.6.</w:t>
            </w:r>
            <w:r w:rsidR="009275D4">
              <w:rPr>
                <w:rFonts w:asciiTheme="minorHAnsi" w:eastAsiaTheme="minorEastAsia" w:hAnsiTheme="minorHAnsi" w:cstheme="minorBidi"/>
                <w:noProof/>
                <w:lang w:eastAsia="fr-FR"/>
              </w:rPr>
              <w:tab/>
            </w:r>
            <w:r w:rsidR="009275D4" w:rsidRPr="004B3C21">
              <w:rPr>
                <w:rStyle w:val="Lienhypertexte"/>
                <w:noProof/>
              </w:rPr>
              <w:t>Politique d’entretien</w:t>
            </w:r>
            <w:r w:rsidR="009275D4">
              <w:rPr>
                <w:noProof/>
              </w:rPr>
              <w:tab/>
            </w:r>
            <w:r w:rsidR="009275D4">
              <w:rPr>
                <w:noProof/>
              </w:rPr>
              <w:fldChar w:fldCharType="begin"/>
            </w:r>
            <w:r w:rsidR="009275D4">
              <w:rPr>
                <w:noProof/>
              </w:rPr>
              <w:instrText xml:space="preserve"> PAGEREF _Toc151019608 \h </w:instrText>
            </w:r>
            <w:r w:rsidR="009275D4">
              <w:rPr>
                <w:noProof/>
              </w:rPr>
            </w:r>
            <w:r w:rsidR="009275D4">
              <w:rPr>
                <w:noProof/>
              </w:rPr>
              <w:fldChar w:fldCharType="separate"/>
            </w:r>
            <w:r w:rsidR="009275D4">
              <w:rPr>
                <w:noProof/>
              </w:rPr>
              <w:t>6</w:t>
            </w:r>
            <w:r w:rsidR="009275D4">
              <w:rPr>
                <w:noProof/>
              </w:rPr>
              <w:fldChar w:fldCharType="end"/>
            </w:r>
          </w:hyperlink>
        </w:p>
        <w:p w14:paraId="5FF2724D" w14:textId="77777777" w:rsidR="009275D4" w:rsidRDefault="002877C6">
          <w:pPr>
            <w:pStyle w:val="TM1"/>
            <w:tabs>
              <w:tab w:val="left" w:pos="566"/>
              <w:tab w:val="right" w:leader="dot" w:pos="9062"/>
            </w:tabs>
            <w:rPr>
              <w:rFonts w:asciiTheme="minorHAnsi" w:eastAsiaTheme="minorEastAsia" w:hAnsiTheme="minorHAnsi" w:cstheme="minorBidi"/>
              <w:noProof/>
              <w:lang w:eastAsia="fr-FR"/>
            </w:rPr>
          </w:pPr>
          <w:hyperlink w:anchor="_Toc151019609" w:history="1">
            <w:r w:rsidR="009275D4" w:rsidRPr="004B3C21">
              <w:rPr>
                <w:rStyle w:val="Lienhypertexte"/>
                <w:noProof/>
              </w:rPr>
              <w:t>D.</w:t>
            </w:r>
            <w:r w:rsidR="009275D4">
              <w:rPr>
                <w:rFonts w:asciiTheme="minorHAnsi" w:eastAsiaTheme="minorEastAsia" w:hAnsiTheme="minorHAnsi" w:cstheme="minorBidi"/>
                <w:noProof/>
                <w:lang w:eastAsia="fr-FR"/>
              </w:rPr>
              <w:tab/>
            </w:r>
            <w:r w:rsidR="009275D4" w:rsidRPr="004B3C21">
              <w:rPr>
                <w:rStyle w:val="Lienhypertexte"/>
                <w:rFonts w:cs="Calibri"/>
                <w:noProof/>
              </w:rPr>
              <w:t>MODALITES DE L’APPEL À PROJETS</w:t>
            </w:r>
            <w:r w:rsidR="009275D4">
              <w:rPr>
                <w:noProof/>
              </w:rPr>
              <w:tab/>
            </w:r>
            <w:r w:rsidR="009275D4">
              <w:rPr>
                <w:noProof/>
              </w:rPr>
              <w:fldChar w:fldCharType="begin"/>
            </w:r>
            <w:r w:rsidR="009275D4">
              <w:rPr>
                <w:noProof/>
              </w:rPr>
              <w:instrText xml:space="preserve"> PAGEREF _Toc151019609 \h </w:instrText>
            </w:r>
            <w:r w:rsidR="009275D4">
              <w:rPr>
                <w:noProof/>
              </w:rPr>
            </w:r>
            <w:r w:rsidR="009275D4">
              <w:rPr>
                <w:noProof/>
              </w:rPr>
              <w:fldChar w:fldCharType="separate"/>
            </w:r>
            <w:r w:rsidR="009275D4">
              <w:rPr>
                <w:noProof/>
              </w:rPr>
              <w:t>6</w:t>
            </w:r>
            <w:r w:rsidR="009275D4">
              <w:rPr>
                <w:noProof/>
              </w:rPr>
              <w:fldChar w:fldCharType="end"/>
            </w:r>
          </w:hyperlink>
        </w:p>
        <w:p w14:paraId="7317D18E"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10" w:history="1">
            <w:r w:rsidR="009275D4" w:rsidRPr="004B3C21">
              <w:rPr>
                <w:rStyle w:val="Lienhypertexte"/>
                <w:noProof/>
              </w:rPr>
              <w:t>D.1.</w:t>
            </w:r>
            <w:r w:rsidR="009275D4">
              <w:rPr>
                <w:rFonts w:asciiTheme="minorHAnsi" w:eastAsiaTheme="minorEastAsia" w:hAnsiTheme="minorHAnsi" w:cstheme="minorBidi"/>
                <w:noProof/>
                <w:lang w:eastAsia="fr-FR"/>
              </w:rPr>
              <w:tab/>
            </w:r>
            <w:r w:rsidR="009275D4" w:rsidRPr="004B3C21">
              <w:rPr>
                <w:rStyle w:val="Lienhypertexte"/>
                <w:noProof/>
              </w:rPr>
              <w:t>Porteurs éligibles</w:t>
            </w:r>
            <w:r w:rsidR="009275D4">
              <w:rPr>
                <w:noProof/>
              </w:rPr>
              <w:tab/>
            </w:r>
            <w:r w:rsidR="009275D4">
              <w:rPr>
                <w:noProof/>
              </w:rPr>
              <w:fldChar w:fldCharType="begin"/>
            </w:r>
            <w:r w:rsidR="009275D4">
              <w:rPr>
                <w:noProof/>
              </w:rPr>
              <w:instrText xml:space="preserve"> PAGEREF _Toc151019610 \h </w:instrText>
            </w:r>
            <w:r w:rsidR="009275D4">
              <w:rPr>
                <w:noProof/>
              </w:rPr>
            </w:r>
            <w:r w:rsidR="009275D4">
              <w:rPr>
                <w:noProof/>
              </w:rPr>
              <w:fldChar w:fldCharType="separate"/>
            </w:r>
            <w:r w:rsidR="009275D4">
              <w:rPr>
                <w:noProof/>
              </w:rPr>
              <w:t>6</w:t>
            </w:r>
            <w:r w:rsidR="009275D4">
              <w:rPr>
                <w:noProof/>
              </w:rPr>
              <w:fldChar w:fldCharType="end"/>
            </w:r>
          </w:hyperlink>
        </w:p>
        <w:p w14:paraId="73CF2FC4"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11" w:history="1">
            <w:r w:rsidR="009275D4" w:rsidRPr="004B3C21">
              <w:rPr>
                <w:rStyle w:val="Lienhypertexte"/>
                <w:noProof/>
              </w:rPr>
              <w:t>D.2.</w:t>
            </w:r>
            <w:r w:rsidR="009275D4">
              <w:rPr>
                <w:rFonts w:asciiTheme="minorHAnsi" w:eastAsiaTheme="minorEastAsia" w:hAnsiTheme="minorHAnsi" w:cstheme="minorBidi"/>
                <w:noProof/>
                <w:lang w:eastAsia="fr-FR"/>
              </w:rPr>
              <w:tab/>
            </w:r>
            <w:r w:rsidR="009275D4" w:rsidRPr="004B3C21">
              <w:rPr>
                <w:rStyle w:val="Lienhypertexte"/>
                <w:noProof/>
              </w:rPr>
              <w:t>Nature de la subvention, taux d’aide et assiette éligible</w:t>
            </w:r>
            <w:r w:rsidR="009275D4">
              <w:rPr>
                <w:noProof/>
              </w:rPr>
              <w:tab/>
            </w:r>
            <w:r w:rsidR="009275D4">
              <w:rPr>
                <w:noProof/>
              </w:rPr>
              <w:fldChar w:fldCharType="begin"/>
            </w:r>
            <w:r w:rsidR="009275D4">
              <w:rPr>
                <w:noProof/>
              </w:rPr>
              <w:instrText xml:space="preserve"> PAGEREF _Toc151019611 \h </w:instrText>
            </w:r>
            <w:r w:rsidR="009275D4">
              <w:rPr>
                <w:noProof/>
              </w:rPr>
            </w:r>
            <w:r w:rsidR="009275D4">
              <w:rPr>
                <w:noProof/>
              </w:rPr>
              <w:fldChar w:fldCharType="separate"/>
            </w:r>
            <w:r w:rsidR="009275D4">
              <w:rPr>
                <w:noProof/>
              </w:rPr>
              <w:t>6</w:t>
            </w:r>
            <w:r w:rsidR="009275D4">
              <w:rPr>
                <w:noProof/>
              </w:rPr>
              <w:fldChar w:fldCharType="end"/>
            </w:r>
          </w:hyperlink>
        </w:p>
        <w:p w14:paraId="6E6863B8"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12" w:history="1">
            <w:r w:rsidR="009275D4" w:rsidRPr="004B3C21">
              <w:rPr>
                <w:rStyle w:val="Lienhypertexte"/>
                <w:noProof/>
              </w:rPr>
              <w:t>D.3.</w:t>
            </w:r>
            <w:r w:rsidR="009275D4">
              <w:rPr>
                <w:rFonts w:asciiTheme="minorHAnsi" w:eastAsiaTheme="minorEastAsia" w:hAnsiTheme="minorHAnsi" w:cstheme="minorBidi"/>
                <w:noProof/>
                <w:lang w:eastAsia="fr-FR"/>
              </w:rPr>
              <w:tab/>
            </w:r>
            <w:r w:rsidR="009275D4" w:rsidRPr="004B3C21">
              <w:rPr>
                <w:rStyle w:val="Lienhypertexte"/>
                <w:noProof/>
              </w:rPr>
              <w:t>Composition et soumission du dossier de candidature</w:t>
            </w:r>
            <w:r w:rsidR="009275D4">
              <w:rPr>
                <w:noProof/>
              </w:rPr>
              <w:tab/>
            </w:r>
            <w:r w:rsidR="009275D4">
              <w:rPr>
                <w:noProof/>
              </w:rPr>
              <w:fldChar w:fldCharType="begin"/>
            </w:r>
            <w:r w:rsidR="009275D4">
              <w:rPr>
                <w:noProof/>
              </w:rPr>
              <w:instrText xml:space="preserve"> PAGEREF _Toc151019612 \h </w:instrText>
            </w:r>
            <w:r w:rsidR="009275D4">
              <w:rPr>
                <w:noProof/>
              </w:rPr>
            </w:r>
            <w:r w:rsidR="009275D4">
              <w:rPr>
                <w:noProof/>
              </w:rPr>
              <w:fldChar w:fldCharType="separate"/>
            </w:r>
            <w:r w:rsidR="009275D4">
              <w:rPr>
                <w:noProof/>
              </w:rPr>
              <w:t>8</w:t>
            </w:r>
            <w:r w:rsidR="009275D4">
              <w:rPr>
                <w:noProof/>
              </w:rPr>
              <w:fldChar w:fldCharType="end"/>
            </w:r>
          </w:hyperlink>
        </w:p>
        <w:p w14:paraId="35C66AE0" w14:textId="77777777" w:rsidR="009275D4" w:rsidRDefault="002877C6">
          <w:pPr>
            <w:pStyle w:val="TM1"/>
            <w:tabs>
              <w:tab w:val="left" w:pos="566"/>
              <w:tab w:val="right" w:leader="dot" w:pos="9062"/>
            </w:tabs>
            <w:rPr>
              <w:rFonts w:asciiTheme="minorHAnsi" w:eastAsiaTheme="minorEastAsia" w:hAnsiTheme="minorHAnsi" w:cstheme="minorBidi"/>
              <w:noProof/>
              <w:lang w:eastAsia="fr-FR"/>
            </w:rPr>
          </w:pPr>
          <w:hyperlink w:anchor="_Toc151019613" w:history="1">
            <w:r w:rsidR="009275D4" w:rsidRPr="004B3C21">
              <w:rPr>
                <w:rStyle w:val="Lienhypertexte"/>
                <w:noProof/>
              </w:rPr>
              <w:t>E.</w:t>
            </w:r>
            <w:r w:rsidR="009275D4">
              <w:rPr>
                <w:rFonts w:asciiTheme="minorHAnsi" w:eastAsiaTheme="minorEastAsia" w:hAnsiTheme="minorHAnsi" w:cstheme="minorBidi"/>
                <w:noProof/>
                <w:lang w:eastAsia="fr-FR"/>
              </w:rPr>
              <w:tab/>
            </w:r>
            <w:r w:rsidR="009275D4" w:rsidRPr="004B3C21">
              <w:rPr>
                <w:rStyle w:val="Lienhypertexte"/>
                <w:rFonts w:cs="Calibri"/>
                <w:noProof/>
              </w:rPr>
              <w:t>ANALYSE DES DOSSIERS</w:t>
            </w:r>
            <w:r w:rsidR="009275D4">
              <w:rPr>
                <w:noProof/>
              </w:rPr>
              <w:tab/>
            </w:r>
            <w:r w:rsidR="009275D4">
              <w:rPr>
                <w:noProof/>
              </w:rPr>
              <w:fldChar w:fldCharType="begin"/>
            </w:r>
            <w:r w:rsidR="009275D4">
              <w:rPr>
                <w:noProof/>
              </w:rPr>
              <w:instrText xml:space="preserve"> PAGEREF _Toc151019613 \h </w:instrText>
            </w:r>
            <w:r w:rsidR="009275D4">
              <w:rPr>
                <w:noProof/>
              </w:rPr>
            </w:r>
            <w:r w:rsidR="009275D4">
              <w:rPr>
                <w:noProof/>
              </w:rPr>
              <w:fldChar w:fldCharType="separate"/>
            </w:r>
            <w:r w:rsidR="009275D4">
              <w:rPr>
                <w:noProof/>
              </w:rPr>
              <w:t>8</w:t>
            </w:r>
            <w:r w:rsidR="009275D4">
              <w:rPr>
                <w:noProof/>
              </w:rPr>
              <w:fldChar w:fldCharType="end"/>
            </w:r>
          </w:hyperlink>
        </w:p>
        <w:p w14:paraId="17FEF5E9"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14" w:history="1">
            <w:r w:rsidR="009275D4" w:rsidRPr="004B3C21">
              <w:rPr>
                <w:rStyle w:val="Lienhypertexte"/>
                <w:noProof/>
              </w:rPr>
              <w:t>E.1.</w:t>
            </w:r>
            <w:r w:rsidR="009275D4">
              <w:rPr>
                <w:rFonts w:asciiTheme="minorHAnsi" w:eastAsiaTheme="minorEastAsia" w:hAnsiTheme="minorHAnsi" w:cstheme="minorBidi"/>
                <w:noProof/>
                <w:lang w:eastAsia="fr-FR"/>
              </w:rPr>
              <w:tab/>
            </w:r>
            <w:r w:rsidR="009275D4" w:rsidRPr="004B3C21">
              <w:rPr>
                <w:rStyle w:val="Lienhypertexte"/>
                <w:noProof/>
              </w:rPr>
              <w:t>Critères de recevabilité et d’éligibilité</w:t>
            </w:r>
            <w:r w:rsidR="009275D4">
              <w:rPr>
                <w:noProof/>
              </w:rPr>
              <w:tab/>
            </w:r>
            <w:r w:rsidR="009275D4">
              <w:rPr>
                <w:noProof/>
              </w:rPr>
              <w:fldChar w:fldCharType="begin"/>
            </w:r>
            <w:r w:rsidR="009275D4">
              <w:rPr>
                <w:noProof/>
              </w:rPr>
              <w:instrText xml:space="preserve"> PAGEREF _Toc151019614 \h </w:instrText>
            </w:r>
            <w:r w:rsidR="009275D4">
              <w:rPr>
                <w:noProof/>
              </w:rPr>
            </w:r>
            <w:r w:rsidR="009275D4">
              <w:rPr>
                <w:noProof/>
              </w:rPr>
              <w:fldChar w:fldCharType="separate"/>
            </w:r>
            <w:r w:rsidR="009275D4">
              <w:rPr>
                <w:noProof/>
              </w:rPr>
              <w:t>8</w:t>
            </w:r>
            <w:r w:rsidR="009275D4">
              <w:rPr>
                <w:noProof/>
              </w:rPr>
              <w:fldChar w:fldCharType="end"/>
            </w:r>
          </w:hyperlink>
        </w:p>
        <w:p w14:paraId="2B2C99A7"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15" w:history="1">
            <w:r w:rsidR="009275D4" w:rsidRPr="004B3C21">
              <w:rPr>
                <w:rStyle w:val="Lienhypertexte"/>
                <w:noProof/>
              </w:rPr>
              <w:t>E.2.</w:t>
            </w:r>
            <w:r w:rsidR="009275D4">
              <w:rPr>
                <w:rFonts w:asciiTheme="minorHAnsi" w:eastAsiaTheme="minorEastAsia" w:hAnsiTheme="minorHAnsi" w:cstheme="minorBidi"/>
                <w:noProof/>
                <w:lang w:eastAsia="fr-FR"/>
              </w:rPr>
              <w:tab/>
            </w:r>
            <w:r w:rsidR="009275D4" w:rsidRPr="004B3C21">
              <w:rPr>
                <w:rStyle w:val="Lienhypertexte"/>
                <w:noProof/>
              </w:rPr>
              <w:t>Critères d’évaluation</w:t>
            </w:r>
            <w:r w:rsidR="009275D4">
              <w:rPr>
                <w:noProof/>
              </w:rPr>
              <w:tab/>
            </w:r>
            <w:r w:rsidR="009275D4">
              <w:rPr>
                <w:noProof/>
              </w:rPr>
              <w:fldChar w:fldCharType="begin"/>
            </w:r>
            <w:r w:rsidR="009275D4">
              <w:rPr>
                <w:noProof/>
              </w:rPr>
              <w:instrText xml:space="preserve"> PAGEREF _Toc151019615 \h </w:instrText>
            </w:r>
            <w:r w:rsidR="009275D4">
              <w:rPr>
                <w:noProof/>
              </w:rPr>
            </w:r>
            <w:r w:rsidR="009275D4">
              <w:rPr>
                <w:noProof/>
              </w:rPr>
              <w:fldChar w:fldCharType="separate"/>
            </w:r>
            <w:r w:rsidR="009275D4">
              <w:rPr>
                <w:noProof/>
              </w:rPr>
              <w:t>9</w:t>
            </w:r>
            <w:r w:rsidR="009275D4">
              <w:rPr>
                <w:noProof/>
              </w:rPr>
              <w:fldChar w:fldCharType="end"/>
            </w:r>
          </w:hyperlink>
        </w:p>
        <w:p w14:paraId="690F635F" w14:textId="77777777" w:rsidR="009275D4" w:rsidRDefault="002877C6">
          <w:pPr>
            <w:pStyle w:val="TM2"/>
            <w:tabs>
              <w:tab w:val="left" w:pos="849"/>
              <w:tab w:val="right" w:leader="dot" w:pos="9062"/>
            </w:tabs>
            <w:rPr>
              <w:rFonts w:asciiTheme="minorHAnsi" w:eastAsiaTheme="minorEastAsia" w:hAnsiTheme="minorHAnsi" w:cstheme="minorBidi"/>
              <w:noProof/>
              <w:lang w:eastAsia="fr-FR"/>
            </w:rPr>
          </w:pPr>
          <w:hyperlink w:anchor="_Toc151019616" w:history="1">
            <w:r w:rsidR="009275D4" w:rsidRPr="004B3C21">
              <w:rPr>
                <w:rStyle w:val="Lienhypertexte"/>
                <w:noProof/>
              </w:rPr>
              <w:t>E.3.</w:t>
            </w:r>
            <w:r w:rsidR="009275D4">
              <w:rPr>
                <w:rFonts w:asciiTheme="minorHAnsi" w:eastAsiaTheme="minorEastAsia" w:hAnsiTheme="minorHAnsi" w:cstheme="minorBidi"/>
                <w:noProof/>
                <w:lang w:eastAsia="fr-FR"/>
              </w:rPr>
              <w:tab/>
            </w:r>
            <w:r w:rsidR="009275D4" w:rsidRPr="004B3C21">
              <w:rPr>
                <w:rStyle w:val="Lienhypertexte"/>
                <w:noProof/>
              </w:rPr>
              <w:t>Choix des lauréats</w:t>
            </w:r>
            <w:r w:rsidR="009275D4">
              <w:rPr>
                <w:noProof/>
              </w:rPr>
              <w:tab/>
            </w:r>
            <w:r w:rsidR="009275D4">
              <w:rPr>
                <w:noProof/>
              </w:rPr>
              <w:fldChar w:fldCharType="begin"/>
            </w:r>
            <w:r w:rsidR="009275D4">
              <w:rPr>
                <w:noProof/>
              </w:rPr>
              <w:instrText xml:space="preserve"> PAGEREF _Toc151019616 \h </w:instrText>
            </w:r>
            <w:r w:rsidR="009275D4">
              <w:rPr>
                <w:noProof/>
              </w:rPr>
            </w:r>
            <w:r w:rsidR="009275D4">
              <w:rPr>
                <w:noProof/>
              </w:rPr>
              <w:fldChar w:fldCharType="separate"/>
            </w:r>
            <w:r w:rsidR="009275D4">
              <w:rPr>
                <w:noProof/>
              </w:rPr>
              <w:t>10</w:t>
            </w:r>
            <w:r w:rsidR="009275D4">
              <w:rPr>
                <w:noProof/>
              </w:rPr>
              <w:fldChar w:fldCharType="end"/>
            </w:r>
          </w:hyperlink>
        </w:p>
        <w:p w14:paraId="0E642D33" w14:textId="77777777" w:rsidR="009275D4" w:rsidRDefault="002877C6">
          <w:pPr>
            <w:pStyle w:val="TM1"/>
            <w:tabs>
              <w:tab w:val="left" w:pos="566"/>
              <w:tab w:val="right" w:leader="dot" w:pos="9062"/>
            </w:tabs>
            <w:rPr>
              <w:rFonts w:asciiTheme="minorHAnsi" w:eastAsiaTheme="minorEastAsia" w:hAnsiTheme="minorHAnsi" w:cstheme="minorBidi"/>
              <w:noProof/>
              <w:lang w:eastAsia="fr-FR"/>
            </w:rPr>
          </w:pPr>
          <w:hyperlink w:anchor="_Toc151019617" w:history="1">
            <w:r w:rsidR="009275D4" w:rsidRPr="004B3C21">
              <w:rPr>
                <w:rStyle w:val="Lienhypertexte"/>
                <w:noProof/>
              </w:rPr>
              <w:t>F.</w:t>
            </w:r>
            <w:r w:rsidR="009275D4">
              <w:rPr>
                <w:rFonts w:asciiTheme="minorHAnsi" w:eastAsiaTheme="minorEastAsia" w:hAnsiTheme="minorHAnsi" w:cstheme="minorBidi"/>
                <w:noProof/>
                <w:lang w:eastAsia="fr-FR"/>
              </w:rPr>
              <w:tab/>
            </w:r>
            <w:r w:rsidR="009275D4" w:rsidRPr="004B3C21">
              <w:rPr>
                <w:rStyle w:val="Lienhypertexte"/>
                <w:rFonts w:cs="Calibri"/>
                <w:noProof/>
              </w:rPr>
              <w:t>MODALITES DE VERSEMENT DES SUBVENTIONS AUX LAUREATS</w:t>
            </w:r>
            <w:r w:rsidR="009275D4">
              <w:rPr>
                <w:noProof/>
              </w:rPr>
              <w:tab/>
            </w:r>
            <w:r w:rsidR="009275D4">
              <w:rPr>
                <w:noProof/>
              </w:rPr>
              <w:fldChar w:fldCharType="begin"/>
            </w:r>
            <w:r w:rsidR="009275D4">
              <w:rPr>
                <w:noProof/>
              </w:rPr>
              <w:instrText xml:space="preserve"> PAGEREF _Toc151019617 \h </w:instrText>
            </w:r>
            <w:r w:rsidR="009275D4">
              <w:rPr>
                <w:noProof/>
              </w:rPr>
            </w:r>
            <w:r w:rsidR="009275D4">
              <w:rPr>
                <w:noProof/>
              </w:rPr>
              <w:fldChar w:fldCharType="separate"/>
            </w:r>
            <w:r w:rsidR="009275D4">
              <w:rPr>
                <w:noProof/>
              </w:rPr>
              <w:t>11</w:t>
            </w:r>
            <w:r w:rsidR="009275D4">
              <w:rPr>
                <w:noProof/>
              </w:rPr>
              <w:fldChar w:fldCharType="end"/>
            </w:r>
          </w:hyperlink>
        </w:p>
        <w:p w14:paraId="3426B068" w14:textId="77777777" w:rsidR="009275D4" w:rsidRDefault="002877C6">
          <w:pPr>
            <w:pStyle w:val="TM1"/>
            <w:tabs>
              <w:tab w:val="left" w:pos="566"/>
              <w:tab w:val="right" w:leader="dot" w:pos="9062"/>
            </w:tabs>
            <w:rPr>
              <w:rFonts w:asciiTheme="minorHAnsi" w:eastAsiaTheme="minorEastAsia" w:hAnsiTheme="minorHAnsi" w:cstheme="minorBidi"/>
              <w:noProof/>
              <w:lang w:eastAsia="fr-FR"/>
            </w:rPr>
          </w:pPr>
          <w:hyperlink w:anchor="_Toc151019618" w:history="1">
            <w:r w:rsidR="009275D4" w:rsidRPr="004B3C21">
              <w:rPr>
                <w:rStyle w:val="Lienhypertexte"/>
                <w:noProof/>
              </w:rPr>
              <w:t>G.</w:t>
            </w:r>
            <w:r w:rsidR="009275D4">
              <w:rPr>
                <w:rFonts w:asciiTheme="minorHAnsi" w:eastAsiaTheme="minorEastAsia" w:hAnsiTheme="minorHAnsi" w:cstheme="minorBidi"/>
                <w:noProof/>
                <w:lang w:eastAsia="fr-FR"/>
              </w:rPr>
              <w:tab/>
            </w:r>
            <w:r w:rsidR="009275D4" w:rsidRPr="004B3C21">
              <w:rPr>
                <w:rStyle w:val="Lienhypertexte"/>
                <w:rFonts w:cs="Calibri"/>
                <w:noProof/>
              </w:rPr>
              <w:t>CONFIDENTIALITE DES RESULTATS ET SUIVI DES PROJETS RETENUS</w:t>
            </w:r>
            <w:r w:rsidR="009275D4">
              <w:rPr>
                <w:noProof/>
              </w:rPr>
              <w:tab/>
            </w:r>
            <w:r w:rsidR="009275D4">
              <w:rPr>
                <w:noProof/>
              </w:rPr>
              <w:fldChar w:fldCharType="begin"/>
            </w:r>
            <w:r w:rsidR="009275D4">
              <w:rPr>
                <w:noProof/>
              </w:rPr>
              <w:instrText xml:space="preserve"> PAGEREF _Toc151019618 \h </w:instrText>
            </w:r>
            <w:r w:rsidR="009275D4">
              <w:rPr>
                <w:noProof/>
              </w:rPr>
            </w:r>
            <w:r w:rsidR="009275D4">
              <w:rPr>
                <w:noProof/>
              </w:rPr>
              <w:fldChar w:fldCharType="separate"/>
            </w:r>
            <w:r w:rsidR="009275D4">
              <w:rPr>
                <w:noProof/>
              </w:rPr>
              <w:t>11</w:t>
            </w:r>
            <w:r w:rsidR="009275D4">
              <w:rPr>
                <w:noProof/>
              </w:rPr>
              <w:fldChar w:fldCharType="end"/>
            </w:r>
          </w:hyperlink>
        </w:p>
        <w:p w14:paraId="4B4A4612" w14:textId="77777777" w:rsidR="009275D4" w:rsidRDefault="002877C6">
          <w:pPr>
            <w:pStyle w:val="TM1"/>
            <w:tabs>
              <w:tab w:val="right" w:leader="dot" w:pos="9062"/>
            </w:tabs>
            <w:rPr>
              <w:rFonts w:asciiTheme="minorHAnsi" w:eastAsiaTheme="minorEastAsia" w:hAnsiTheme="minorHAnsi" w:cstheme="minorBidi"/>
              <w:noProof/>
              <w:lang w:eastAsia="fr-FR"/>
            </w:rPr>
          </w:pPr>
          <w:hyperlink w:anchor="_Toc151019619" w:history="1">
            <w:r w:rsidR="009275D4" w:rsidRPr="004B3C21">
              <w:rPr>
                <w:rStyle w:val="Lienhypertexte"/>
                <w:rFonts w:cs="Calibri"/>
                <w:noProof/>
              </w:rPr>
              <w:t>ANNEXES</w:t>
            </w:r>
            <w:r w:rsidR="009275D4">
              <w:rPr>
                <w:noProof/>
              </w:rPr>
              <w:tab/>
            </w:r>
            <w:r w:rsidR="009275D4">
              <w:rPr>
                <w:noProof/>
              </w:rPr>
              <w:fldChar w:fldCharType="begin"/>
            </w:r>
            <w:r w:rsidR="009275D4">
              <w:rPr>
                <w:noProof/>
              </w:rPr>
              <w:instrText xml:space="preserve"> PAGEREF _Toc151019619 \h </w:instrText>
            </w:r>
            <w:r w:rsidR="009275D4">
              <w:rPr>
                <w:noProof/>
              </w:rPr>
            </w:r>
            <w:r w:rsidR="009275D4">
              <w:rPr>
                <w:noProof/>
              </w:rPr>
              <w:fldChar w:fldCharType="separate"/>
            </w:r>
            <w:r w:rsidR="009275D4">
              <w:rPr>
                <w:noProof/>
              </w:rPr>
              <w:t>13</w:t>
            </w:r>
            <w:r w:rsidR="009275D4">
              <w:rPr>
                <w:noProof/>
              </w:rPr>
              <w:fldChar w:fldCharType="end"/>
            </w:r>
          </w:hyperlink>
        </w:p>
        <w:p w14:paraId="6BE60247" w14:textId="56D15D7D" w:rsidR="00005D55" w:rsidRDefault="00BE446D">
          <w:pPr>
            <w:pStyle w:val="TM1"/>
            <w:tabs>
              <w:tab w:val="right" w:leader="dot" w:pos="9062"/>
            </w:tabs>
            <w:rPr>
              <w:rFonts w:asciiTheme="minorHAnsi" w:eastAsiaTheme="minorEastAsia" w:hAnsiTheme="minorHAnsi" w:cstheme="minorBidi"/>
              <w:lang w:eastAsia="fr-FR"/>
            </w:rPr>
          </w:pPr>
          <w:r w:rsidRPr="00E721F8">
            <w:rPr>
              <w:rStyle w:val="Sautdindex"/>
            </w:rPr>
            <w:fldChar w:fldCharType="end"/>
          </w:r>
        </w:p>
      </w:sdtContent>
    </w:sdt>
    <w:p w14:paraId="71F24CAF" w14:textId="77777777" w:rsidR="00005D55" w:rsidRDefault="00BE446D">
      <w:pPr>
        <w:pStyle w:val="TM2"/>
        <w:tabs>
          <w:tab w:val="left" w:pos="566"/>
          <w:tab w:val="right" w:leader="dot" w:pos="9062"/>
        </w:tabs>
        <w:rPr>
          <w:rFonts w:cs="Times New Roman"/>
          <w:lang w:eastAsia="fr-FR"/>
        </w:rPr>
      </w:pPr>
      <w:r>
        <w:br w:type="page"/>
      </w:r>
    </w:p>
    <w:p w14:paraId="7774CF2E" w14:textId="77777777" w:rsidR="00005D55" w:rsidRDefault="00BE446D" w:rsidP="00E721F8">
      <w:pPr>
        <w:pStyle w:val="Titre1"/>
        <w:tabs>
          <w:tab w:val="left" w:pos="-1418"/>
        </w:tabs>
        <w:spacing w:before="480" w:after="0"/>
        <w:ind w:left="1077" w:hanging="357"/>
      </w:pPr>
      <w:bookmarkStart w:id="3" w:name="_Toc121221259"/>
      <w:bookmarkStart w:id="4" w:name="_Toc71566254"/>
      <w:bookmarkStart w:id="5" w:name="_Toc151019600"/>
      <w:r>
        <w:rPr>
          <w:rFonts w:ascii="Calibri" w:hAnsi="Calibri" w:cs="Calibri"/>
          <w:caps w:val="0"/>
        </w:rPr>
        <w:lastRenderedPageBreak/>
        <w:t>CONTEXTE ET ENJEUX</w:t>
      </w:r>
      <w:bookmarkEnd w:id="3"/>
      <w:bookmarkEnd w:id="4"/>
      <w:bookmarkEnd w:id="5"/>
    </w:p>
    <w:p w14:paraId="573D106B" w14:textId="77777777" w:rsidR="00005D55" w:rsidRDefault="00BE446D">
      <w:pPr>
        <w:pStyle w:val="WW-Standard"/>
        <w:spacing w:before="240" w:after="0"/>
      </w:pPr>
      <w:r>
        <w:rPr>
          <w:rFonts w:ascii="Calibri" w:hAnsi="Calibri" w:cs="Calibri"/>
          <w:szCs w:val="22"/>
        </w:rPr>
        <w:t xml:space="preserve">Si environ deux-tiers des déplacements en France sont inférieurs à 5 km, la plupart sont effectués en automobile. Toutefois, à bien des égards, la marche et le vélo sont plus pertinents et efficaces pour les trajets les plus courts. Ils s’accompagnent en effet de bénéfices individuels et collectifs en termes de qualité de l’air, de santé, d’attractivité des territoires, de transition écologique et énergétique, d’accès à la mobilité pour tous, de qualité de vie et enfin d’emploi. </w:t>
      </w:r>
    </w:p>
    <w:p w14:paraId="5CABCAB0" w14:textId="3D32D38E" w:rsidR="00005D55" w:rsidRDefault="00BE446D">
      <w:pPr>
        <w:pStyle w:val="WW-Standard"/>
        <w:spacing w:before="240" w:after="0"/>
      </w:pPr>
      <w:r>
        <w:rPr>
          <w:rFonts w:ascii="Calibri" w:hAnsi="Calibri" w:cs="Calibri"/>
          <w:szCs w:val="22"/>
        </w:rPr>
        <w:t xml:space="preserve">Pouvoir choisir de réaliser ces trajets à vélo suppose de mettre en place une véritable culture vélo et d’en bâtir l’écosystème sur tout le territoire. Répondre aux enjeux de la mobilité du quotidien, c’est en effet considérer le vélo comme une véritable solution de mobilité. Depuis 2018, la place du vélo a fortement progressé, néanmoins beaucoup reste à faire et la part modale française est encore inférieure à celle de ses voisins (11 % en Allemagne, 12 % en Belgique ou 28 % aux Pays-Bas). </w:t>
      </w:r>
    </w:p>
    <w:p w14:paraId="458B9868" w14:textId="77777777" w:rsidR="00005D55" w:rsidRDefault="00BE446D">
      <w:pPr>
        <w:pStyle w:val="WW-Standard"/>
        <w:spacing w:before="240" w:after="0"/>
      </w:pPr>
      <w:r>
        <w:rPr>
          <w:rFonts w:ascii="Calibri" w:hAnsi="Calibri" w:cs="Calibri"/>
          <w:szCs w:val="22"/>
        </w:rPr>
        <w:t xml:space="preserve">Les itinéraires cyclables sécurisés sur toute leur longueur, en sites propres protégés de la circulation automobile lorsque le trafic et la vitesse le nécessitent, ne sont pas aujourd’hui assez nombreux et ne permettent pas d’apporter un sentiment de sécurité sur la totalité du parcours, nécessaire à une pratique du vélo. De nombreux itinéraires cyclables sont peu utilisés, ou peu utilisables, dans des conditions de sécurité suffisantes car les discontinuités génèrent un inconfort important pour les utilisateurs et interdisent à un grand nombre de cyclistes une pratique quotidienne effective. Les principales discontinuités sont liées à l’absence d’ouvrage d’art permettant le franchissement de coupures naturelles (fleuves, plans d’eau…) et de grandes infrastructures (voie ferrée, autoroutes, canaux…) ainsi qu’à des points noirs de sécurité routière (carrefours, entrées de ville, voies rapides...) </w:t>
      </w:r>
    </w:p>
    <w:p w14:paraId="176298CA" w14:textId="77777777" w:rsidR="00005D55" w:rsidRDefault="00BE446D">
      <w:pPr>
        <w:pStyle w:val="WW-Standard"/>
        <w:spacing w:before="240" w:after="0"/>
      </w:pPr>
      <w:r>
        <w:rPr>
          <w:rFonts w:ascii="Calibri" w:hAnsi="Calibri" w:cs="Calibri"/>
          <w:szCs w:val="22"/>
        </w:rPr>
        <w:t>La loi d’orientation des mobilités (LOM) du 24 décembre 2019 et le Plan vélo et mobilités actives 2018-2022 ont permis de faire de la France un pays dans lequel les mobilités actives sont des modes de déplacement à part entière au quotidien. Le plan vélo et mobilités actives 2022-2027 lancé le 20 septembre 2022 vise à inscrire définitivement le vélo dans le quotidien de tous les Français.</w:t>
      </w:r>
    </w:p>
    <w:p w14:paraId="3C8C2A0A" w14:textId="77777777" w:rsidR="00005D55" w:rsidRDefault="00BE446D">
      <w:pPr>
        <w:pStyle w:val="WW-Standard"/>
        <w:spacing w:before="240" w:after="0"/>
      </w:pPr>
      <w:r>
        <w:rPr>
          <w:rFonts w:ascii="Calibri" w:hAnsi="Calibri" w:cs="Calibri"/>
          <w:szCs w:val="22"/>
        </w:rPr>
        <w:t>À cette fin, plusieurs leviers, notamment financiers, sont actionnés :</w:t>
      </w:r>
    </w:p>
    <w:p w14:paraId="6835A55C" w14:textId="77777777" w:rsidR="00005D55" w:rsidRDefault="00BE446D" w:rsidP="00E721F8">
      <w:pPr>
        <w:numPr>
          <w:ilvl w:val="0"/>
          <w:numId w:val="10"/>
        </w:numPr>
        <w:tabs>
          <w:tab w:val="left" w:pos="-709"/>
        </w:tabs>
        <w:spacing w:after="0" w:line="240" w:lineRule="auto"/>
        <w:jc w:val="both"/>
        <w:rPr>
          <w:rFonts w:cs="Century Gothic"/>
          <w:color w:val="00000A"/>
        </w:rPr>
      </w:pPr>
      <w:proofErr w:type="gramStart"/>
      <w:r>
        <w:rPr>
          <w:rFonts w:cs="Century Gothic"/>
          <w:color w:val="00000A"/>
        </w:rPr>
        <w:t>les</w:t>
      </w:r>
      <w:proofErr w:type="gramEnd"/>
      <w:r>
        <w:rPr>
          <w:rFonts w:cs="Century Gothic"/>
          <w:color w:val="00000A"/>
        </w:rPr>
        <w:t xml:space="preserve"> dotations de soutien à l’investissement public local et aux départements (DSIL et DSID) dont les attributions sont définies à l’échelle départementale, permettent de financer des  aménagements cyclables, en général de coût limité ;</w:t>
      </w:r>
    </w:p>
    <w:p w14:paraId="5D6B896F" w14:textId="5922C8B7" w:rsidR="00005D55" w:rsidRPr="00E721F8" w:rsidRDefault="00BE446D" w:rsidP="00E721F8">
      <w:pPr>
        <w:numPr>
          <w:ilvl w:val="0"/>
          <w:numId w:val="10"/>
        </w:numPr>
        <w:tabs>
          <w:tab w:val="left" w:pos="-709"/>
        </w:tabs>
        <w:spacing w:after="0" w:line="240" w:lineRule="auto"/>
        <w:jc w:val="both"/>
        <w:rPr>
          <w:rFonts w:ascii="Arial" w:hAnsi="Arial"/>
        </w:rPr>
      </w:pPr>
      <w:proofErr w:type="gramStart"/>
      <w:r>
        <w:rPr>
          <w:rFonts w:cs="Century Gothic"/>
          <w:color w:val="00000A"/>
        </w:rPr>
        <w:t>le</w:t>
      </w:r>
      <w:proofErr w:type="gramEnd"/>
      <w:r>
        <w:rPr>
          <w:rFonts w:cs="Century Gothic"/>
          <w:color w:val="00000A"/>
        </w:rPr>
        <w:t xml:space="preserve"> </w:t>
      </w:r>
      <w:r w:rsidR="003A49DA">
        <w:rPr>
          <w:rFonts w:cs="Century Gothic"/>
          <w:color w:val="00000A"/>
        </w:rPr>
        <w:t>f</w:t>
      </w:r>
      <w:r>
        <w:rPr>
          <w:rFonts w:cs="Century Gothic"/>
          <w:color w:val="00000A"/>
        </w:rPr>
        <w:t>onds national « mobilités actives », vise à soutenir, accélérer et amplifier les projets de création d’axes cyclables structurants dans les collectivités. Il se décline en deux volets : les appels à projets « aménagements cyclables » pour le soutien à la réalisation d’itinéraires cyclables sécurisés et de résorption de discontinuités d’itinéraires</w:t>
      </w:r>
      <w:r>
        <w:rPr>
          <w:rStyle w:val="Ancredenotedebasdepage"/>
          <w:rFonts w:cs="Century Gothic"/>
          <w:color w:val="00000A"/>
        </w:rPr>
        <w:footnoteReference w:id="2"/>
      </w:r>
      <w:r>
        <w:rPr>
          <w:rFonts w:cs="Century Gothic"/>
          <w:color w:val="00000A"/>
        </w:rPr>
        <w:t>, ainsi que les appels à programmes « territoires cyclables »</w:t>
      </w:r>
      <w:r>
        <w:rPr>
          <w:rFonts w:cs="Arial"/>
          <w:iCs/>
        </w:rPr>
        <w:t xml:space="preserve"> qui visent à accompagner sur plusieurs années les territoires les moins urbanisés </w:t>
      </w:r>
      <w:r w:rsidR="003A49DA">
        <w:rPr>
          <w:rFonts w:cs="Arial"/>
          <w:iCs/>
        </w:rPr>
        <w:t>dans la mise en œuvre de l’ensemble des aménagements prévus par leur</w:t>
      </w:r>
      <w:r>
        <w:rPr>
          <w:rFonts w:cs="Arial"/>
          <w:iCs/>
        </w:rPr>
        <w:t xml:space="preserve"> schéma directeur cyclable. Ces deux dispositifs ont vocation à être lancés successivement chaque année.</w:t>
      </w:r>
    </w:p>
    <w:p w14:paraId="0184558C" w14:textId="77777777" w:rsidR="00005D55" w:rsidRDefault="00005D55">
      <w:pPr>
        <w:pStyle w:val="WW-Standard"/>
      </w:pPr>
    </w:p>
    <w:p w14:paraId="4CD296C1" w14:textId="77777777" w:rsidR="00005D55" w:rsidRDefault="00BE446D" w:rsidP="00E721F8">
      <w:pPr>
        <w:pStyle w:val="Titre1"/>
        <w:tabs>
          <w:tab w:val="left" w:pos="-709"/>
        </w:tabs>
        <w:spacing w:before="480" w:after="0"/>
        <w:ind w:left="1077" w:hanging="357"/>
        <w:rPr>
          <w:rFonts w:ascii="Calibri" w:hAnsi="Calibri" w:cs="Calibri"/>
          <w:caps w:val="0"/>
        </w:rPr>
      </w:pPr>
      <w:bookmarkStart w:id="6" w:name="_Toc121221260"/>
      <w:bookmarkStart w:id="7" w:name="_Toc71566255"/>
      <w:bookmarkStart w:id="8" w:name="_Toc151019601"/>
      <w:r>
        <w:rPr>
          <w:rFonts w:ascii="Calibri" w:hAnsi="Calibri" w:cs="Calibri"/>
          <w:caps w:val="0"/>
        </w:rPr>
        <w:t>OBJECTIF DE L’APPEL À PROJETS</w:t>
      </w:r>
      <w:bookmarkEnd w:id="6"/>
      <w:bookmarkEnd w:id="7"/>
      <w:bookmarkEnd w:id="8"/>
    </w:p>
    <w:p w14:paraId="45EE3B1D" w14:textId="77777777" w:rsidR="00005D55" w:rsidRDefault="00BE446D">
      <w:pPr>
        <w:spacing w:before="280" w:after="0" w:line="240" w:lineRule="auto"/>
        <w:jc w:val="both"/>
      </w:pPr>
      <w:r>
        <w:rPr>
          <w:rFonts w:cs="Century Gothic"/>
          <w:color w:val="00000A"/>
        </w:rPr>
        <w:t xml:space="preserve">L’objectif de ce nouvel appel à projets, piloté par le ministère chargé des transports, est de </w:t>
      </w:r>
      <w:r>
        <w:rPr>
          <w:rFonts w:cs="Century Gothic"/>
          <w:b/>
          <w:color w:val="00000A"/>
        </w:rPr>
        <w:t xml:space="preserve">soutenir les maîtres d’ouvrage publics en leur apportant une source de financement complémentaire pour débloquer des aménagements cyclables identifiés comme nécessaires mais perçus comme coûteux du fait de leur ampleur, notamment dans les secteurs à enjeux pour les mobilités du quotidien. </w:t>
      </w:r>
    </w:p>
    <w:p w14:paraId="5F5E9409" w14:textId="77777777" w:rsidR="00005D55" w:rsidRDefault="00BE446D" w:rsidP="00E721F8">
      <w:pPr>
        <w:pStyle w:val="Titre1"/>
        <w:tabs>
          <w:tab w:val="left" w:pos="-709"/>
        </w:tabs>
        <w:spacing w:before="480" w:after="0"/>
        <w:ind w:left="1077" w:hanging="357"/>
      </w:pPr>
      <w:bookmarkStart w:id="9" w:name="_Toc121221261"/>
      <w:bookmarkStart w:id="10" w:name="_Toc71566256"/>
      <w:bookmarkStart w:id="11" w:name="_Toc151019602"/>
      <w:r>
        <w:rPr>
          <w:rFonts w:ascii="Calibri" w:hAnsi="Calibri" w:cs="Calibri"/>
          <w:caps w:val="0"/>
        </w:rPr>
        <w:t>CARACTERISTIQUES DES PROJETS</w:t>
      </w:r>
      <w:bookmarkEnd w:id="9"/>
      <w:bookmarkEnd w:id="10"/>
      <w:bookmarkEnd w:id="11"/>
    </w:p>
    <w:p w14:paraId="4A620891" w14:textId="77777777" w:rsidR="00005D55" w:rsidRDefault="00BE446D" w:rsidP="00E721F8">
      <w:pPr>
        <w:pStyle w:val="Titre2"/>
        <w:tabs>
          <w:tab w:val="left" w:pos="-709"/>
        </w:tabs>
      </w:pPr>
      <w:bookmarkStart w:id="12" w:name="_Toc121221262"/>
      <w:bookmarkStart w:id="13" w:name="_Toc151019603"/>
      <w:bookmarkStart w:id="14" w:name="_Toc71566257"/>
      <w:r>
        <w:t>Typologie de projets éligibles</w:t>
      </w:r>
      <w:bookmarkEnd w:id="12"/>
      <w:bookmarkEnd w:id="13"/>
    </w:p>
    <w:p w14:paraId="2DEF80B6" w14:textId="77777777" w:rsidR="00005D55" w:rsidRDefault="00BE446D">
      <w:pPr>
        <w:spacing w:before="280" w:after="0" w:line="240" w:lineRule="auto"/>
        <w:jc w:val="both"/>
      </w:pPr>
      <w:r>
        <w:rPr>
          <w:rFonts w:cs="Century Gothic"/>
          <w:color w:val="00000A"/>
        </w:rPr>
        <w:t>Deux catégories de projets sont éligibles :</w:t>
      </w:r>
    </w:p>
    <w:p w14:paraId="58299E62" w14:textId="77777777" w:rsidR="00005D55" w:rsidRDefault="00BE446D" w:rsidP="00E721F8">
      <w:pPr>
        <w:numPr>
          <w:ilvl w:val="0"/>
          <w:numId w:val="10"/>
        </w:numPr>
        <w:tabs>
          <w:tab w:val="left" w:pos="-709"/>
        </w:tabs>
        <w:spacing w:after="0" w:line="240" w:lineRule="auto"/>
        <w:jc w:val="both"/>
      </w:pPr>
      <w:r>
        <w:rPr>
          <w:rFonts w:cs="Century Gothic"/>
          <w:color w:val="00000A"/>
        </w:rPr>
        <w:t xml:space="preserve">Les projets de type « discontinuité » - ouvrages d’art et points noirs de sécurité routière. </w:t>
      </w:r>
    </w:p>
    <w:p w14:paraId="4FADEE64" w14:textId="77777777" w:rsidR="00005D55" w:rsidRDefault="00BE446D" w:rsidP="00E721F8">
      <w:pPr>
        <w:numPr>
          <w:ilvl w:val="0"/>
          <w:numId w:val="10"/>
        </w:numPr>
        <w:tabs>
          <w:tab w:val="left" w:pos="-709"/>
        </w:tabs>
        <w:spacing w:after="0" w:line="240" w:lineRule="auto"/>
        <w:jc w:val="both"/>
      </w:pPr>
      <w:r>
        <w:rPr>
          <w:rFonts w:cs="Century Gothic"/>
          <w:color w:val="00000A"/>
        </w:rPr>
        <w:t>Les projets de type « itinéraire sécurisé ».</w:t>
      </w:r>
    </w:p>
    <w:p w14:paraId="5E9F5588" w14:textId="77777777" w:rsidR="00005D55" w:rsidRDefault="00BE446D">
      <w:pPr>
        <w:pStyle w:val="western"/>
        <w:spacing w:before="240" w:after="0"/>
      </w:pPr>
      <w:r>
        <w:rPr>
          <w:rFonts w:ascii="Calibri" w:hAnsi="Calibri" w:cs="Calibri"/>
          <w:color w:val="auto"/>
        </w:rPr>
        <w:t>Un projet ne respectant pas strictement ces critères restera éligible si et seulement si les dérogations sont ponctuelles et dûment justifiées.</w:t>
      </w:r>
    </w:p>
    <w:p w14:paraId="21A12F21" w14:textId="77777777" w:rsidR="00005D55" w:rsidRDefault="00BE446D">
      <w:pPr>
        <w:spacing w:before="280" w:after="0" w:line="240" w:lineRule="auto"/>
        <w:jc w:val="both"/>
      </w:pPr>
      <w:r>
        <w:rPr>
          <w:rFonts w:cs="Century Gothic"/>
          <w:color w:val="00000A"/>
          <w:u w:val="single"/>
        </w:rPr>
        <w:t xml:space="preserve">Soit le projet est un projet de </w:t>
      </w:r>
      <w:r>
        <w:rPr>
          <w:rFonts w:cs="Century Gothic"/>
          <w:b/>
          <w:color w:val="00000A"/>
          <w:u w:val="single"/>
        </w:rPr>
        <w:t>type</w:t>
      </w:r>
      <w:r>
        <w:rPr>
          <w:rFonts w:cs="Century Gothic"/>
          <w:color w:val="00000A"/>
          <w:u w:val="single"/>
        </w:rPr>
        <w:t xml:space="preserve"> « </w:t>
      </w:r>
      <w:r>
        <w:rPr>
          <w:rFonts w:cs="Century Gothic"/>
          <w:b/>
          <w:color w:val="00000A"/>
          <w:u w:val="single"/>
        </w:rPr>
        <w:t>discontinuité »</w:t>
      </w:r>
      <w:r>
        <w:rPr>
          <w:rFonts w:cs="Century Gothic"/>
          <w:color w:val="00000A"/>
          <w:u w:val="single"/>
        </w:rPr>
        <w:t xml:space="preserve"> </w:t>
      </w:r>
      <w:r>
        <w:rPr>
          <w:rFonts w:cs="Century Gothic"/>
          <w:color w:val="00000A"/>
        </w:rPr>
        <w:t xml:space="preserve">et dans ce cas il devra s’agir :  </w:t>
      </w:r>
    </w:p>
    <w:p w14:paraId="3F99CDF8" w14:textId="77777777" w:rsidR="00005D55" w:rsidRDefault="00BE446D" w:rsidP="00E721F8">
      <w:pPr>
        <w:numPr>
          <w:ilvl w:val="0"/>
          <w:numId w:val="13"/>
        </w:numPr>
        <w:spacing w:after="0" w:line="240" w:lineRule="auto"/>
        <w:jc w:val="both"/>
      </w:pPr>
      <w:proofErr w:type="gramStart"/>
      <w:r>
        <w:rPr>
          <w:rFonts w:cs="Century Gothic"/>
          <w:color w:val="00000A"/>
        </w:rPr>
        <w:t>d’un</w:t>
      </w:r>
      <w:proofErr w:type="gramEnd"/>
      <w:r>
        <w:rPr>
          <w:rFonts w:cs="Century Gothic"/>
          <w:color w:val="00000A"/>
        </w:rPr>
        <w:t xml:space="preserve"> ouvrage d’art (pont, passerelle, tunnel) et de ses raccordements à un aménagement existant pour le franchissement d’une infrastructure terrestre ou d’une barrière naturelle ;</w:t>
      </w:r>
    </w:p>
    <w:p w14:paraId="0A7F79CA" w14:textId="77777777" w:rsidR="00005D55" w:rsidRDefault="00BE446D" w:rsidP="00E721F8">
      <w:pPr>
        <w:numPr>
          <w:ilvl w:val="0"/>
          <w:numId w:val="13"/>
        </w:numPr>
        <w:spacing w:after="0" w:line="240" w:lineRule="auto"/>
        <w:jc w:val="both"/>
      </w:pPr>
      <w:proofErr w:type="gramStart"/>
      <w:r>
        <w:rPr>
          <w:rFonts w:cs="Century Gothic"/>
          <w:color w:val="00000A"/>
        </w:rPr>
        <w:t>du</w:t>
      </w:r>
      <w:proofErr w:type="gramEnd"/>
      <w:r>
        <w:rPr>
          <w:rFonts w:cs="Century Gothic"/>
          <w:color w:val="00000A"/>
        </w:rPr>
        <w:t xml:space="preserve"> traitement d’un point noir de sécurité routière (carrefours dangereux, trafic dense) et ses raccordements à des aménagements existants, notamment s’il est identifié comme tel par la Fédération des usagers de la bicyclette</w:t>
      </w:r>
      <w:r w:rsidRPr="00E721F8">
        <w:rPr>
          <w:rStyle w:val="Ancredenotedebasdepage"/>
        </w:rPr>
        <w:footnoteReference w:id="3"/>
      </w:r>
      <w:r>
        <w:rPr>
          <w:rFonts w:cs="Century Gothic"/>
          <w:color w:val="00000A"/>
        </w:rPr>
        <w:t>.</w:t>
      </w:r>
    </w:p>
    <w:p w14:paraId="576FF3ED" w14:textId="77777777" w:rsidR="00005D55" w:rsidRDefault="00BE446D">
      <w:pPr>
        <w:spacing w:before="280" w:after="0" w:line="240" w:lineRule="auto"/>
        <w:jc w:val="both"/>
      </w:pPr>
      <w:r>
        <w:t xml:space="preserve">La résorption de la discontinuité doit permettre de joindre de manière sécurisée deux aménagements </w:t>
      </w:r>
      <w:r>
        <w:rPr>
          <w:rFonts w:cs="Century Gothic"/>
          <w:color w:val="00000A"/>
        </w:rPr>
        <w:t xml:space="preserve">cyclables </w:t>
      </w:r>
      <w:r>
        <w:t>existants,</w:t>
      </w:r>
      <w:r>
        <w:rPr>
          <w:rFonts w:cs="Century Gothic"/>
          <w:color w:val="00000A"/>
        </w:rPr>
        <w:t xml:space="preserve"> ou un pôle générateur de trafic et un aménagement cyclable existant</w:t>
      </w:r>
      <w:r>
        <w:t>.</w:t>
      </w:r>
    </w:p>
    <w:p w14:paraId="7CEDB81D" w14:textId="50985227" w:rsidR="00005D55" w:rsidRDefault="00BE446D">
      <w:pPr>
        <w:spacing w:before="280" w:after="0" w:line="240" w:lineRule="auto"/>
        <w:jc w:val="both"/>
        <w:rPr>
          <w:i/>
        </w:rPr>
      </w:pPr>
      <w:r>
        <w:rPr>
          <w:rFonts w:cs="Century Gothic"/>
          <w:color w:val="00000A"/>
          <w:u w:val="single"/>
        </w:rPr>
        <w:t xml:space="preserve">Soit le projet est un projet de </w:t>
      </w:r>
      <w:r>
        <w:rPr>
          <w:rFonts w:cs="Century Gothic"/>
          <w:b/>
          <w:color w:val="00000A"/>
          <w:u w:val="single"/>
        </w:rPr>
        <w:t>type « itinéraire sécurisé »</w:t>
      </w:r>
      <w:r>
        <w:rPr>
          <w:rFonts w:cs="Century Gothic"/>
          <w:color w:val="00000A"/>
        </w:rPr>
        <w:t xml:space="preserve"> et dans ce cas il devra s’agir d’un aménagement cyclable sécurisé </w:t>
      </w:r>
      <w:r>
        <w:rPr>
          <w:rFonts w:cs="Century Gothic"/>
          <w:b/>
          <w:color w:val="00000A"/>
        </w:rPr>
        <w:t>justifié par les trafics et les vitesses automobiles pratiquées</w:t>
      </w:r>
      <w:r>
        <w:rPr>
          <w:rFonts w:cs="Century Gothic"/>
          <w:color w:val="00000A"/>
        </w:rPr>
        <w:t xml:space="preserve">. Le projet présenté devra être un itinéraire inférieur à 15 km de longueur. </w:t>
      </w:r>
      <w:r w:rsidR="00814E4F">
        <w:rPr>
          <w:rFonts w:cs="Century Gothic"/>
          <w:color w:val="00000A"/>
        </w:rPr>
        <w:t>A défaut, le projet ne peut être éligible que s’il est scindé en deux projets de moins de 15km, qui seront instruits indépendamment.</w:t>
      </w:r>
      <w:r>
        <w:rPr>
          <w:rFonts w:cs="Century Gothic"/>
          <w:color w:val="00000A"/>
        </w:rPr>
        <w:t xml:space="preserve"> </w:t>
      </w:r>
      <w:r>
        <w:rPr>
          <w:b/>
        </w:rPr>
        <w:t>Un « itinéraire sécurisé » peut également contenir des « discontinuités ».</w:t>
      </w:r>
    </w:p>
    <w:p w14:paraId="46BD3BC0" w14:textId="77777777" w:rsidR="00005D55" w:rsidRDefault="00BE446D">
      <w:pPr>
        <w:spacing w:before="280" w:after="0" w:line="240" w:lineRule="auto"/>
        <w:jc w:val="both"/>
        <w:rPr>
          <w:rFonts w:cs="Century Gothic"/>
          <w:color w:val="00000A"/>
        </w:rPr>
      </w:pPr>
      <w:r>
        <w:rPr>
          <w:u w:val="single"/>
        </w:rPr>
        <w:t xml:space="preserve">Pour les deux types de projet </w:t>
      </w:r>
      <w:r>
        <w:t>(itinéraire ou discontinuité)</w:t>
      </w:r>
      <w:r>
        <w:rPr>
          <w:u w:val="single"/>
        </w:rPr>
        <w:t>, la qualité des aménagements cyclables</w:t>
      </w:r>
      <w:r>
        <w:t xml:space="preserve"> est primordiale pour encourager de nouveaux usagers à emprunter les itinéraires cyclables. Tout projet doit ainsi respecter les recommandations techniques du Cerema (cf. Annexe 3) notamment de largeur et de continuité aux intersections. Une logique d’itinéraire cyclable complet doit toujours prévaloir : quand des sites propres (pistes cyclables ou voies vertes) ne sont pas possibles sur certains tronçons, les aménagements proposés (bande cyclable, mixité des circulations) doivent être compatibles avec </w:t>
      </w:r>
      <w:r>
        <w:lastRenderedPageBreak/>
        <w:t xml:space="preserve">les trafics routiers et les vitesses pratiquées </w:t>
      </w:r>
      <w:r>
        <w:rPr>
          <w:rFonts w:cs="Century Gothic"/>
          <w:color w:val="00000A"/>
        </w:rPr>
        <w:t xml:space="preserve">en application des recommandations du CEREMA sur chacune des sections de l’itinéraire (cf. Annexe 3). Ces éléments doivent </w:t>
      </w:r>
      <w:r>
        <w:t xml:space="preserve">être présentés. </w:t>
      </w:r>
    </w:p>
    <w:p w14:paraId="64AA2178" w14:textId="77777777" w:rsidR="00005D55" w:rsidRDefault="00BE446D">
      <w:pPr>
        <w:spacing w:before="280" w:after="0" w:line="240" w:lineRule="auto"/>
        <w:jc w:val="both"/>
      </w:pPr>
      <w:r>
        <w:t xml:space="preserve">Les revêtements devront permettre une praticabilité de l’aménagement en toute saison et une durabilité dans le temps. Les dérogations ponctuelles aux recommandations doivent être justifiées. </w:t>
      </w:r>
    </w:p>
    <w:p w14:paraId="6DD2E7EF" w14:textId="77777777" w:rsidR="00005D55" w:rsidRDefault="00BE446D">
      <w:pPr>
        <w:spacing w:before="280" w:after="0" w:line="240" w:lineRule="auto"/>
        <w:jc w:val="both"/>
      </w:pPr>
      <w:r>
        <w:rPr>
          <w:rFonts w:cs="Century Gothic"/>
          <w:b/>
          <w:bCs/>
          <w:color w:val="00000A"/>
          <w:u w:val="single"/>
        </w:rPr>
        <w:t>Pour les deux types de projet, l’assiette éligible</w:t>
      </w:r>
      <w:r>
        <w:rPr>
          <w:rFonts w:cs="Century Gothic"/>
          <w:color w:val="00000A"/>
          <w:u w:val="single"/>
        </w:rPr>
        <w:t xml:space="preserve"> </w:t>
      </w:r>
      <w:r>
        <w:rPr>
          <w:rFonts w:cs="Century Gothic"/>
          <w:color w:val="00000A"/>
        </w:rPr>
        <w:t xml:space="preserve">ne prend en compte que les aménagements sécurisés </w:t>
      </w:r>
      <w:r>
        <w:rPr>
          <w:rFonts w:cs="Century Gothic"/>
          <w:b/>
          <w:bCs/>
          <w:color w:val="00000A"/>
        </w:rPr>
        <w:t>en site propre</w:t>
      </w:r>
      <w:r>
        <w:rPr>
          <w:rFonts w:cs="Century Gothic"/>
          <w:color w:val="00000A"/>
        </w:rPr>
        <w:t>, séparés de la circulation automobile (voie verte et piste cyclable).</w:t>
      </w:r>
    </w:p>
    <w:p w14:paraId="4F18B8E1" w14:textId="77777777" w:rsidR="00005D55" w:rsidRDefault="00BE446D" w:rsidP="00E721F8">
      <w:pPr>
        <w:pStyle w:val="Titre2"/>
        <w:tabs>
          <w:tab w:val="left" w:pos="-709"/>
        </w:tabs>
      </w:pPr>
      <w:bookmarkStart w:id="15" w:name="_Toc121221263"/>
      <w:bookmarkStart w:id="16" w:name="_Toc151019604"/>
      <w:r>
        <w:t>Calendrier des projets éligibles</w:t>
      </w:r>
      <w:bookmarkEnd w:id="15"/>
      <w:bookmarkEnd w:id="16"/>
    </w:p>
    <w:p w14:paraId="02796FBA" w14:textId="77777777" w:rsidR="00005D55" w:rsidRDefault="00BE446D">
      <w:pPr>
        <w:spacing w:before="280" w:after="0" w:line="240" w:lineRule="auto"/>
        <w:jc w:val="both"/>
      </w:pPr>
      <w:r>
        <w:t xml:space="preserve">Le projet présenté doit avoir fait l’objet </w:t>
      </w:r>
      <w:r>
        <w:rPr>
          <w:i/>
        </w:rPr>
        <w:t>a minima</w:t>
      </w:r>
      <w:r>
        <w:t xml:space="preserve"> d’études préliminaires. Les projets d’ouvrage d’art doivent quant à eux avoir fait l’objet </w:t>
      </w:r>
      <w:r>
        <w:rPr>
          <w:i/>
        </w:rPr>
        <w:t>a minima</w:t>
      </w:r>
      <w:r>
        <w:t xml:space="preserve"> d’un avant-projet sommaire. </w:t>
      </w:r>
    </w:p>
    <w:p w14:paraId="07BFD9D6" w14:textId="77777777" w:rsidR="00005D55" w:rsidRDefault="00BE446D">
      <w:pPr>
        <w:spacing w:before="280" w:after="0" w:line="240" w:lineRule="auto"/>
        <w:jc w:val="both"/>
      </w:pPr>
      <w:r>
        <w:rPr>
          <w:b/>
        </w:rPr>
        <w:t>Les travaux ne peuvent pas être notifiés avant l’annonce des lauréats.</w:t>
      </w:r>
      <w:r>
        <w:t xml:space="preserve"> Ils devront l’être dans les 18 mois après l’annonce des lauréats, exception faite des projets particulièrement complexes.</w:t>
      </w:r>
    </w:p>
    <w:p w14:paraId="6614A11D" w14:textId="77777777" w:rsidR="00005D55" w:rsidRDefault="00BE446D">
      <w:pPr>
        <w:spacing w:before="280" w:after="0" w:line="240" w:lineRule="auto"/>
        <w:jc w:val="both"/>
      </w:pPr>
      <w:r>
        <w:t xml:space="preserve">Enfin, le projet doit être mis en service dans un délai maximal de 48 mois après la date d’annonce des lauréats. </w:t>
      </w:r>
    </w:p>
    <w:p w14:paraId="4075B31D" w14:textId="77777777" w:rsidR="00005D55" w:rsidRDefault="00BE446D" w:rsidP="00E721F8">
      <w:pPr>
        <w:pStyle w:val="Titre2"/>
        <w:tabs>
          <w:tab w:val="left" w:pos="-709"/>
        </w:tabs>
        <w:rPr>
          <w:rFonts w:cs="Century Gothic"/>
        </w:rPr>
      </w:pPr>
      <w:bookmarkStart w:id="17" w:name="_Toc121221264"/>
      <w:bookmarkStart w:id="18" w:name="_Toc151019605"/>
      <w:r>
        <w:t>Inscription dans la politique cyclable</w:t>
      </w:r>
      <w:bookmarkEnd w:id="17"/>
      <w:bookmarkEnd w:id="18"/>
      <w:r>
        <w:t xml:space="preserve"> </w:t>
      </w:r>
      <w:bookmarkEnd w:id="14"/>
    </w:p>
    <w:p w14:paraId="7E652511" w14:textId="77777777" w:rsidR="00005D55" w:rsidRDefault="00BE446D">
      <w:pPr>
        <w:spacing w:before="280" w:after="0" w:line="240" w:lineRule="auto"/>
        <w:jc w:val="both"/>
      </w:pPr>
      <w:r>
        <w:rPr>
          <w:rFonts w:cs="Century Gothic"/>
          <w:color w:val="00000A"/>
        </w:rPr>
        <w:t xml:space="preserve">Le candidat devra présenter </w:t>
      </w:r>
      <w:r>
        <w:rPr>
          <w:rFonts w:cs="Century Gothic"/>
          <w:b/>
          <w:color w:val="00000A"/>
        </w:rPr>
        <w:t xml:space="preserve">la politique cyclable dans lequel son projet s’inscrit </w:t>
      </w:r>
      <w:r>
        <w:rPr>
          <w:rFonts w:cs="Century Gothic"/>
          <w:color w:val="00000A"/>
        </w:rPr>
        <w:t>et sa</w:t>
      </w:r>
      <w:r>
        <w:rPr>
          <w:rFonts w:cs="Century Gothic"/>
          <w:b/>
          <w:color w:val="00000A"/>
        </w:rPr>
        <w:t xml:space="preserve"> </w:t>
      </w:r>
      <w:r>
        <w:rPr>
          <w:rFonts w:cs="Century Gothic"/>
          <w:color w:val="00000A"/>
        </w:rPr>
        <w:t xml:space="preserve">cohérence avec la politique cyclable du territoire dans lequel s’inscrit l’action du maître d’ouvrage (bassin d’emploi, unité urbaine, intercommunalité…). </w:t>
      </w:r>
    </w:p>
    <w:p w14:paraId="094BEC99" w14:textId="77777777" w:rsidR="00005D55" w:rsidRDefault="00BE446D" w:rsidP="00E721F8">
      <w:pPr>
        <w:pStyle w:val="Titre2"/>
        <w:tabs>
          <w:tab w:val="left" w:pos="-709"/>
        </w:tabs>
      </w:pPr>
      <w:bookmarkStart w:id="19" w:name="_Toc121221265"/>
      <w:bookmarkStart w:id="20" w:name="_Toc71566258"/>
      <w:bookmarkStart w:id="21" w:name="_Toc151019606"/>
      <w:r>
        <w:rPr>
          <w:rFonts w:cs="Century Gothic"/>
        </w:rPr>
        <w:t>Diagnostic territorial</w:t>
      </w:r>
      <w:bookmarkEnd w:id="19"/>
      <w:bookmarkEnd w:id="20"/>
      <w:bookmarkEnd w:id="21"/>
    </w:p>
    <w:p w14:paraId="40C060F4" w14:textId="77777777" w:rsidR="00005D55" w:rsidRDefault="00BE446D">
      <w:pPr>
        <w:spacing w:before="280" w:after="0" w:line="240" w:lineRule="auto"/>
        <w:jc w:val="both"/>
        <w:rPr>
          <w:b/>
        </w:rPr>
      </w:pPr>
      <w:r>
        <w:rPr>
          <w:rFonts w:cs="Century Gothic"/>
          <w:b/>
          <w:color w:val="00000A"/>
        </w:rPr>
        <w:t>Pour chaque projet, un diagnostic devra être posé</w:t>
      </w:r>
      <w:r>
        <w:rPr>
          <w:rFonts w:cs="Century Gothic"/>
          <w:color w:val="00000A"/>
        </w:rPr>
        <w:t xml:space="preserve">. Ce diagnostic devra établir un état des lieux succinct du territoire autour de l’ouvrage ou de l’aménagement projeté avec une identification des zones alentour et de leurs caractéristiques (habitat, activités, bureaux, logistique, services, quartiers prioritaires au titre de la politique de la ville…), du nombre de personnes concernées par l’ouvrage ou les aménagements à réaliser (nombre d’emplois ou d’habitants, nombre et types de commerces, types de services publics ou privés…) et de la desserte existante : transports en commun, existence ou non de trottoirs, d’accotements aménagés, qualité de ces aménagements. </w:t>
      </w:r>
      <w:r>
        <w:rPr>
          <w:rFonts w:cs="Century Gothic"/>
          <w:b/>
          <w:color w:val="00000A"/>
        </w:rPr>
        <w:t xml:space="preserve">Ce diagnostic devra être illustré. </w:t>
      </w:r>
    </w:p>
    <w:p w14:paraId="2F545366" w14:textId="77777777" w:rsidR="00005D55" w:rsidRDefault="00BE446D" w:rsidP="00E721F8">
      <w:pPr>
        <w:pStyle w:val="Titre2"/>
        <w:tabs>
          <w:tab w:val="left" w:pos="-709"/>
        </w:tabs>
      </w:pPr>
      <w:bookmarkStart w:id="22" w:name="_Toc121221266"/>
      <w:bookmarkStart w:id="23" w:name="_Toc71566259"/>
      <w:bookmarkStart w:id="24" w:name="_Toc151019607"/>
      <w:r>
        <w:t>Impacts sur la fréquentation</w:t>
      </w:r>
      <w:bookmarkEnd w:id="22"/>
      <w:bookmarkEnd w:id="23"/>
      <w:bookmarkEnd w:id="24"/>
    </w:p>
    <w:p w14:paraId="511032F7" w14:textId="77777777" w:rsidR="00005D55" w:rsidRDefault="00BE446D">
      <w:pPr>
        <w:spacing w:before="280" w:after="0" w:line="240" w:lineRule="auto"/>
        <w:jc w:val="both"/>
      </w:pPr>
      <w:r>
        <w:rPr>
          <w:rFonts w:cs="Century Gothic"/>
          <w:color w:val="00000A"/>
        </w:rPr>
        <w:t xml:space="preserve">L’impact du projet devra </w:t>
      </w:r>
      <w:r>
        <w:rPr>
          <w:rFonts w:cs="Century Gothic"/>
          <w:b/>
          <w:color w:val="00000A"/>
        </w:rPr>
        <w:t>être apprécié en termes de fréquentation attendue sur les déplacements du quotidien</w:t>
      </w:r>
      <w:r>
        <w:rPr>
          <w:rFonts w:cs="Century Gothic"/>
          <w:color w:val="00000A"/>
        </w:rPr>
        <w:t> : types de publics destinataires (employés, étudiants, scolaires, familles, habitants d’un quartier prioritaire au sens de la politique de la ville…), fréquence probable d’utilisation, potentiel de désenclavement pour des populations précarisées.</w:t>
      </w:r>
    </w:p>
    <w:p w14:paraId="75800F6F" w14:textId="20BAC124" w:rsidR="00005D55" w:rsidRDefault="00BE446D">
      <w:pPr>
        <w:spacing w:before="280" w:after="0" w:line="240" w:lineRule="auto"/>
        <w:jc w:val="both"/>
        <w:rPr>
          <w:rFonts w:cs="Century Gothic"/>
          <w:color w:val="00000A"/>
        </w:rPr>
      </w:pPr>
      <w:r>
        <w:rPr>
          <w:rFonts w:cs="Century Gothic"/>
          <w:color w:val="00000A"/>
        </w:rPr>
        <w:t xml:space="preserve">Pour les projets dont </w:t>
      </w:r>
      <w:r w:rsidR="00C14E8D" w:rsidRPr="000537C9">
        <w:rPr>
          <w:rFonts w:cs="Century Gothic"/>
          <w:color w:val="00000A"/>
        </w:rPr>
        <w:t>le coût</w:t>
      </w:r>
      <w:r w:rsidR="007E0D09">
        <w:rPr>
          <w:rFonts w:cs="Century Gothic"/>
          <w:color w:val="00000A"/>
        </w:rPr>
        <w:t xml:space="preserve"> total</w:t>
      </w:r>
      <w:r>
        <w:rPr>
          <w:rFonts w:cs="Century Gothic"/>
          <w:color w:val="00000A"/>
        </w:rPr>
        <w:t xml:space="preserve"> est </w:t>
      </w:r>
      <w:r w:rsidR="00C14E8D" w:rsidRPr="000537C9">
        <w:rPr>
          <w:rFonts w:cs="Century Gothic"/>
          <w:color w:val="00000A"/>
        </w:rPr>
        <w:t>supérieur</w:t>
      </w:r>
      <w:r>
        <w:rPr>
          <w:rFonts w:cs="Century Gothic"/>
          <w:color w:val="00000A"/>
        </w:rPr>
        <w:t xml:space="preserve"> à 500 000 € courants HT,</w:t>
      </w:r>
      <w:r>
        <w:rPr>
          <w:rFonts w:cs="Century Gothic"/>
          <w:b/>
          <w:color w:val="00000A"/>
        </w:rPr>
        <w:t xml:space="preserve"> les porteurs devront prévoir la mise en place d’un compteur vélo automatique</w:t>
      </w:r>
      <w:r>
        <w:rPr>
          <w:rFonts w:cs="Century Gothic"/>
          <w:color w:val="00000A"/>
        </w:rPr>
        <w:t xml:space="preserve"> au niveau du projet ou à proximité, sauf si un compteur à proximité est déjà existant. Ce compteur devra être inscrit dans la « plate-forme nationale des fréquentations » de Vélo &amp; Territoires. Les coûts de mise en place du compteur pourront être inclus dans l’assiette éligible du projet.</w:t>
      </w:r>
    </w:p>
    <w:p w14:paraId="4CDD1022" w14:textId="77777777" w:rsidR="00005D55" w:rsidRDefault="00BE446D">
      <w:pPr>
        <w:spacing w:before="280" w:after="0" w:line="240" w:lineRule="auto"/>
        <w:jc w:val="both"/>
        <w:rPr>
          <w:rFonts w:cs="Century Gothic"/>
          <w:color w:val="00000A"/>
        </w:rPr>
      </w:pPr>
      <w:r>
        <w:rPr>
          <w:rFonts w:cs="Century Gothic"/>
          <w:color w:val="00000A"/>
        </w:rPr>
        <w:lastRenderedPageBreak/>
        <w:t>Les porteurs de projets devront également renseigner les caractéristiques de l’aménagement réalisé et ses caractéristiques dans la Base nationale des aménagements cyclables</w:t>
      </w:r>
      <w:r w:rsidRPr="00E721F8">
        <w:rPr>
          <w:rStyle w:val="Ancredenotedebasdepage"/>
        </w:rPr>
        <w:footnoteReference w:id="4"/>
      </w:r>
      <w:r>
        <w:rPr>
          <w:rFonts w:cs="Century Gothic"/>
          <w:color w:val="00000A"/>
        </w:rPr>
        <w:t>.</w:t>
      </w:r>
    </w:p>
    <w:p w14:paraId="57C0B71A" w14:textId="77777777" w:rsidR="00005D55" w:rsidRDefault="00BE446D" w:rsidP="00E721F8">
      <w:pPr>
        <w:pStyle w:val="Titre2"/>
        <w:tabs>
          <w:tab w:val="left" w:pos="-709"/>
        </w:tabs>
      </w:pPr>
      <w:bookmarkStart w:id="25" w:name="_Toc121221267"/>
      <w:bookmarkStart w:id="26" w:name="_Toc151019608"/>
      <w:r>
        <w:t>Politique d’entretien</w:t>
      </w:r>
      <w:bookmarkEnd w:id="25"/>
      <w:bookmarkEnd w:id="26"/>
    </w:p>
    <w:p w14:paraId="173D369E" w14:textId="77777777" w:rsidR="00005D55" w:rsidRDefault="00BE446D">
      <w:pPr>
        <w:pStyle w:val="Corpsdetexte"/>
      </w:pPr>
      <w:r>
        <w:t>L’entretien en toute saison des infrastructures cyclables étant une des clés de leur bonne utilisation et de leur durabilité, le porteur de projet décrira dans son projet sa politique actuelle ou envisagée de gestion de l’aménagement à réaliser.</w:t>
      </w:r>
    </w:p>
    <w:p w14:paraId="2264FA88" w14:textId="77777777" w:rsidR="00005D55" w:rsidRDefault="00BE446D" w:rsidP="00E721F8">
      <w:pPr>
        <w:pStyle w:val="Titre1"/>
        <w:tabs>
          <w:tab w:val="left" w:pos="-709"/>
        </w:tabs>
        <w:spacing w:before="480" w:after="0"/>
        <w:ind w:left="1077" w:hanging="357"/>
      </w:pPr>
      <w:bookmarkStart w:id="27" w:name="_Toc121221268"/>
      <w:bookmarkStart w:id="28" w:name="_Toc71566262"/>
      <w:bookmarkStart w:id="29" w:name="_Toc151019609"/>
      <w:r>
        <w:rPr>
          <w:rFonts w:ascii="Calibri" w:hAnsi="Calibri" w:cs="Calibri"/>
          <w:caps w:val="0"/>
        </w:rPr>
        <w:t>MODALITES DE L’APPEL À PROJETS</w:t>
      </w:r>
      <w:bookmarkEnd w:id="27"/>
      <w:bookmarkEnd w:id="28"/>
      <w:bookmarkEnd w:id="29"/>
    </w:p>
    <w:p w14:paraId="16EBF08D" w14:textId="77777777" w:rsidR="00005D55" w:rsidRDefault="00BE446D" w:rsidP="00E721F8">
      <w:pPr>
        <w:pStyle w:val="Titre2"/>
        <w:tabs>
          <w:tab w:val="left" w:pos="-709"/>
        </w:tabs>
      </w:pPr>
      <w:bookmarkStart w:id="30" w:name="_Toc121221269"/>
      <w:bookmarkStart w:id="31" w:name="_Toc71566263"/>
      <w:bookmarkStart w:id="32" w:name="_Toc151019610"/>
      <w:r>
        <w:t>Porteurs éligibles</w:t>
      </w:r>
      <w:bookmarkEnd w:id="30"/>
      <w:bookmarkEnd w:id="31"/>
      <w:bookmarkEnd w:id="32"/>
    </w:p>
    <w:p w14:paraId="74780D16" w14:textId="7B8D3CC3" w:rsidR="00005D55" w:rsidRDefault="00BE446D">
      <w:pPr>
        <w:pStyle w:val="western"/>
        <w:spacing w:before="240" w:after="0"/>
      </w:pPr>
      <w:r>
        <w:rPr>
          <w:rFonts w:ascii="Calibri" w:hAnsi="Calibri" w:cs="Calibri"/>
          <w:color w:val="00000A"/>
        </w:rPr>
        <w:t xml:space="preserve">Le présent appel à projets est ouvert à tous les maîtres d’ouvrage publics : collectivités (y compris Conseils départementaux) et groupements de collectivités, autorités organisatrices de la mobilité, établissements publics de coopération intercommunale, aménageurs publics et établissements publics d’aménagement, quelle que soit leur taille. </w:t>
      </w:r>
    </w:p>
    <w:p w14:paraId="3C9B0A37" w14:textId="77777777" w:rsidR="00005D55" w:rsidRDefault="00BE446D">
      <w:pPr>
        <w:pStyle w:val="western"/>
        <w:spacing w:before="240" w:after="0"/>
      </w:pPr>
      <w:r>
        <w:rPr>
          <w:rFonts w:ascii="Calibri" w:hAnsi="Calibri" w:cs="Calibri"/>
          <w:color w:val="00000A"/>
        </w:rPr>
        <w:t>Le présent appel à projets est également ouvert à des groupements de collectivités sans personnalité juridique propre, soit quand la collectivité sur le territoire de laquelle se trouvent les ouvrages ou aménagements projetés n’a pas les moyens d’assurer seule la maîtrise d’ouvrage du projet, soit quand le projet est porté par un ensemble de collectivités maître d’ouvrages.</w:t>
      </w:r>
    </w:p>
    <w:p w14:paraId="22E3B853" w14:textId="77777777" w:rsidR="00005D55" w:rsidRDefault="00BE446D">
      <w:pPr>
        <w:pStyle w:val="western"/>
        <w:spacing w:before="240" w:after="0"/>
        <w:rPr>
          <w:rFonts w:ascii="Calibri" w:hAnsi="Calibri" w:cs="Calibri"/>
          <w:color w:val="00000A"/>
        </w:rPr>
      </w:pPr>
      <w:r>
        <w:rPr>
          <w:rFonts w:ascii="Calibri" w:hAnsi="Calibri" w:cs="Calibri"/>
          <w:color w:val="00000A"/>
        </w:rPr>
        <w:t>Chaque projet doit être présenté par un porteur de projet unique qui, s'il implique la participation de plusieurs maîtres d'ouvrage, sera habilité à en assurer la représentation.</w:t>
      </w:r>
    </w:p>
    <w:p w14:paraId="1523018D" w14:textId="77777777" w:rsidR="00005D55" w:rsidRDefault="00BE446D">
      <w:pPr>
        <w:pStyle w:val="western"/>
        <w:spacing w:before="240" w:after="0"/>
        <w:rPr>
          <w:rFonts w:ascii="Calibri" w:hAnsi="Calibri" w:cs="Calibri"/>
          <w:b/>
          <w:color w:val="00000A"/>
        </w:rPr>
      </w:pPr>
      <w:r>
        <w:rPr>
          <w:rFonts w:ascii="Calibri" w:hAnsi="Calibri" w:cs="Calibri"/>
          <w:b/>
          <w:color w:val="00000A"/>
        </w:rPr>
        <w:t>Un même porteur peut candidater pour plusieurs projets, à condition de déposer un dossier de candidature pour chaque projet.</w:t>
      </w:r>
    </w:p>
    <w:p w14:paraId="2BEBA8A6" w14:textId="23F46C8F" w:rsidR="00005D55" w:rsidRDefault="00BE446D">
      <w:pPr>
        <w:pStyle w:val="western"/>
        <w:spacing w:before="240" w:after="0"/>
        <w:rPr>
          <w:rFonts w:ascii="Calibri" w:hAnsi="Calibri" w:cs="Calibri"/>
          <w:color w:val="00000A"/>
        </w:rPr>
      </w:pPr>
      <w:r>
        <w:rPr>
          <w:rFonts w:ascii="Calibri" w:hAnsi="Calibri" w:cs="Calibri"/>
          <w:color w:val="00000A"/>
        </w:rPr>
        <w:t>Les intercommunalités lauréates du 1</w:t>
      </w:r>
      <w:r>
        <w:rPr>
          <w:rFonts w:ascii="Calibri" w:hAnsi="Calibri" w:cs="Calibri"/>
          <w:color w:val="00000A"/>
          <w:vertAlign w:val="superscript"/>
        </w:rPr>
        <w:t>er</w:t>
      </w:r>
      <w:r>
        <w:rPr>
          <w:rFonts w:ascii="Calibri" w:hAnsi="Calibri" w:cs="Calibri"/>
          <w:color w:val="00000A"/>
        </w:rPr>
        <w:t xml:space="preserve"> appel à programmes « territoires cyclables », ainsi que les communes en faisant partie ne sont pas éligibles au présent appel à projets.</w:t>
      </w:r>
    </w:p>
    <w:p w14:paraId="0AB1ADC4" w14:textId="77777777" w:rsidR="00005D55" w:rsidRDefault="00005D55">
      <w:pPr>
        <w:pStyle w:val="western"/>
        <w:spacing w:before="240" w:after="0"/>
        <w:rPr>
          <w:b/>
        </w:rPr>
      </w:pPr>
    </w:p>
    <w:p w14:paraId="5D63FA4A" w14:textId="77777777" w:rsidR="00005D55" w:rsidRDefault="00BE446D" w:rsidP="00E721F8">
      <w:pPr>
        <w:pStyle w:val="Titre2"/>
        <w:tabs>
          <w:tab w:val="left" w:pos="-709"/>
        </w:tabs>
      </w:pPr>
      <w:bookmarkStart w:id="33" w:name="_Toc121221270"/>
      <w:bookmarkStart w:id="34" w:name="_Toc71566264"/>
      <w:bookmarkStart w:id="35" w:name="_Toc151019611"/>
      <w:r>
        <w:t>Nature de la subvention, taux d’aide et assiette éligible</w:t>
      </w:r>
      <w:bookmarkEnd w:id="33"/>
      <w:bookmarkEnd w:id="34"/>
      <w:bookmarkEnd w:id="35"/>
    </w:p>
    <w:p w14:paraId="5F85CAAA" w14:textId="7D5D13C8" w:rsidR="00005D55" w:rsidRDefault="00BE446D">
      <w:pPr>
        <w:pStyle w:val="western"/>
        <w:spacing w:before="240" w:after="0"/>
      </w:pPr>
      <w:r>
        <w:rPr>
          <w:rFonts w:ascii="Calibri" w:hAnsi="Calibri" w:cs="Calibri"/>
          <w:color w:val="00000A"/>
        </w:rPr>
        <w:t>Le financement national retenu sera assuré par l’Agence de financement des infrastructures de transport de France (AFIT France). Les règles générales d’attribution et de versement des aides financières de l’AFIT France sont donc applicables dans le cadre de cet appel à projets. Chaque projet fera l’objet d’une convention</w:t>
      </w:r>
      <w:r w:rsidR="00814E4F">
        <w:rPr>
          <w:rFonts w:ascii="Calibri" w:hAnsi="Calibri" w:cs="Calibri"/>
          <w:color w:val="00000A"/>
        </w:rPr>
        <w:t xml:space="preserve"> </w:t>
      </w:r>
      <w:r>
        <w:rPr>
          <w:rFonts w:ascii="Calibri" w:hAnsi="Calibri" w:cs="Calibri"/>
          <w:color w:val="00000A"/>
        </w:rPr>
        <w:t xml:space="preserve">de financement avec la Direction </w:t>
      </w:r>
      <w:r w:rsidR="00451F5F">
        <w:rPr>
          <w:rFonts w:ascii="Calibri" w:hAnsi="Calibri" w:cs="Calibri"/>
          <w:color w:val="00000A"/>
        </w:rPr>
        <w:t>R</w:t>
      </w:r>
      <w:r>
        <w:rPr>
          <w:rFonts w:ascii="Calibri" w:hAnsi="Calibri" w:cs="Calibri"/>
          <w:color w:val="00000A"/>
        </w:rPr>
        <w:t>égionale de l’Environnement, de l’Aménagement et du Logement</w:t>
      </w:r>
      <w:r w:rsidRPr="00E721F8">
        <w:rPr>
          <w:rStyle w:val="Ancredenotedebasdepage"/>
        </w:rPr>
        <w:footnoteReference w:id="5"/>
      </w:r>
      <w:r>
        <w:rPr>
          <w:rFonts w:ascii="Calibri" w:hAnsi="Calibri" w:cs="Calibri"/>
          <w:color w:val="00000A"/>
        </w:rPr>
        <w:t xml:space="preserve"> de la Région concernée.</w:t>
      </w:r>
    </w:p>
    <w:p w14:paraId="2ABCB72C" w14:textId="77777777" w:rsidR="00005D55" w:rsidRDefault="00BE446D">
      <w:pPr>
        <w:pStyle w:val="western"/>
        <w:spacing w:before="240" w:after="0"/>
      </w:pPr>
      <w:r>
        <w:rPr>
          <w:rFonts w:ascii="Calibri" w:hAnsi="Calibri" w:cs="Calibri"/>
          <w:color w:val="00000A"/>
        </w:rPr>
        <w:t xml:space="preserve">Les sommes seront versées sous forme de subvention à des activités d’intérêt économique général et régies par : </w:t>
      </w:r>
    </w:p>
    <w:p w14:paraId="24CBDD8A" w14:textId="77777777" w:rsidR="00005D55" w:rsidRDefault="00BE446D" w:rsidP="00E721F8">
      <w:pPr>
        <w:numPr>
          <w:ilvl w:val="0"/>
          <w:numId w:val="7"/>
        </w:numPr>
        <w:tabs>
          <w:tab w:val="left" w:pos="-709"/>
        </w:tabs>
        <w:spacing w:after="0" w:line="240" w:lineRule="auto"/>
        <w:jc w:val="both"/>
      </w:pPr>
      <w:proofErr w:type="gramStart"/>
      <w:r>
        <w:rPr>
          <w:rFonts w:cs="Century Gothic"/>
          <w:color w:val="00000A"/>
        </w:rPr>
        <w:t>le</w:t>
      </w:r>
      <w:proofErr w:type="gramEnd"/>
      <w:r>
        <w:rPr>
          <w:rFonts w:cs="Century Gothic"/>
          <w:color w:val="00000A"/>
        </w:rPr>
        <w:t xml:space="preserve"> décret n°2018-514 du 25 juin 2018 relatif aux subventions de l'État pour des projets d'investissement ; </w:t>
      </w:r>
    </w:p>
    <w:p w14:paraId="3BFEC6B5" w14:textId="77777777" w:rsidR="00005D55" w:rsidRDefault="00BE446D" w:rsidP="00E721F8">
      <w:pPr>
        <w:numPr>
          <w:ilvl w:val="0"/>
          <w:numId w:val="7"/>
        </w:numPr>
        <w:tabs>
          <w:tab w:val="left" w:pos="-709"/>
        </w:tabs>
        <w:spacing w:after="0" w:line="240" w:lineRule="auto"/>
        <w:jc w:val="both"/>
      </w:pPr>
      <w:proofErr w:type="gramStart"/>
      <w:r>
        <w:rPr>
          <w:rFonts w:cs="Century Gothic"/>
          <w:color w:val="00000A"/>
        </w:rPr>
        <w:lastRenderedPageBreak/>
        <w:t>l’arrêté</w:t>
      </w:r>
      <w:proofErr w:type="gramEnd"/>
      <w:r>
        <w:rPr>
          <w:rFonts w:cs="Century Gothic"/>
          <w:color w:val="00000A"/>
        </w:rPr>
        <w:t xml:space="preserve"> du 21 août 2018 pris en application de l'article 3 du décret n° 2018-514 du 25 juin 2018 relatif aux subventions de l'État pour des projets d'investissement ; </w:t>
      </w:r>
    </w:p>
    <w:p w14:paraId="3819E3D9" w14:textId="77777777" w:rsidR="00005D55" w:rsidRDefault="00BE446D" w:rsidP="00E721F8">
      <w:pPr>
        <w:numPr>
          <w:ilvl w:val="0"/>
          <w:numId w:val="7"/>
        </w:numPr>
        <w:tabs>
          <w:tab w:val="left" w:pos="-709"/>
        </w:tabs>
        <w:spacing w:after="0" w:line="240" w:lineRule="auto"/>
        <w:jc w:val="both"/>
      </w:pPr>
      <w:proofErr w:type="gramStart"/>
      <w:r>
        <w:rPr>
          <w:rFonts w:cs="Century Gothic"/>
          <w:color w:val="00000A"/>
        </w:rPr>
        <w:t>l’arrêté</w:t>
      </w:r>
      <w:proofErr w:type="gramEnd"/>
      <w:r>
        <w:rPr>
          <w:rFonts w:cs="Century Gothic"/>
          <w:color w:val="00000A"/>
        </w:rPr>
        <w:t xml:space="preserve"> du 2 août 2019 pris en application de l'article 6 du décret n° 2018-514 du 25 juin 2018 relatif aux subventions de l'État pour des projets d'investissement, déterminant les pièces et informations complémentaires aux demandes de subventions relevant du ministère de la transition écologique et solidaire et du ministère de la cohésion des territoires et des relations avec les collectivités territoriales.</w:t>
      </w:r>
    </w:p>
    <w:p w14:paraId="5446CA5B" w14:textId="019155FF" w:rsidR="00005D55" w:rsidRDefault="00BE446D">
      <w:pPr>
        <w:pStyle w:val="western"/>
        <w:spacing w:before="240" w:after="0"/>
        <w:rPr>
          <w:rFonts w:ascii="Calibri" w:hAnsi="Calibri" w:cs="Calibri"/>
          <w:color w:val="00000A"/>
        </w:rPr>
      </w:pPr>
      <w:r>
        <w:rPr>
          <w:rFonts w:ascii="Calibri" w:hAnsi="Calibri" w:cs="Calibri"/>
          <w:color w:val="00000A"/>
        </w:rPr>
        <w:t xml:space="preserve">Le budget alloué à cet appel à projets est de 125 M€. </w:t>
      </w:r>
    </w:p>
    <w:p w14:paraId="3ACDECAF" w14:textId="77777777" w:rsidR="00005D55" w:rsidRDefault="00BE446D">
      <w:pPr>
        <w:pStyle w:val="western"/>
        <w:spacing w:before="240" w:after="0"/>
        <w:rPr>
          <w:rFonts w:ascii="Calibri" w:hAnsi="Calibri" w:cs="Calibri"/>
          <w:color w:val="00000A"/>
        </w:rPr>
      </w:pPr>
      <w:r>
        <w:rPr>
          <w:rFonts w:ascii="Calibri" w:hAnsi="Calibri" w:cs="Calibri"/>
          <w:color w:val="00000A"/>
        </w:rPr>
        <w:t>Le taux d’aide apporté à chaque projet sera de :</w:t>
      </w:r>
    </w:p>
    <w:p w14:paraId="08FDD76F" w14:textId="77777777" w:rsidR="00005D55" w:rsidRDefault="00BE446D" w:rsidP="00E721F8">
      <w:pPr>
        <w:pStyle w:val="western"/>
        <w:numPr>
          <w:ilvl w:val="0"/>
          <w:numId w:val="12"/>
        </w:numPr>
        <w:spacing w:before="240" w:after="0"/>
        <w:rPr>
          <w:rFonts w:ascii="Calibri" w:hAnsi="Calibri" w:cs="Calibri"/>
          <w:color w:val="00000A"/>
        </w:rPr>
      </w:pPr>
      <w:r>
        <w:rPr>
          <w:rFonts w:ascii="Calibri" w:hAnsi="Calibri" w:cs="Calibri"/>
          <w:color w:val="00000A"/>
        </w:rPr>
        <w:t xml:space="preserve">15 % maximum du montant de l’assiette éligible hors taxe pour les projets situés </w:t>
      </w:r>
      <w:r>
        <w:rPr>
          <w:rFonts w:ascii="Calibri" w:hAnsi="Calibri" w:cs="Calibri"/>
          <w:color w:val="00000A"/>
          <w:u w:val="single"/>
        </w:rPr>
        <w:t>en secteur dense</w:t>
      </w:r>
      <w:r>
        <w:rPr>
          <w:rFonts w:ascii="Calibri" w:hAnsi="Calibri" w:cs="Calibri"/>
          <w:color w:val="00000A"/>
        </w:rPr>
        <w:t xml:space="preserve">, définis comme étant situés dans une </w:t>
      </w:r>
      <w:r>
        <w:rPr>
          <w:rFonts w:ascii="Calibri" w:hAnsi="Calibri" w:cs="Calibri"/>
          <w:color w:val="00000A"/>
          <w:u w:val="single"/>
        </w:rPr>
        <w:t>unité urbaine de plus de 100 000 habitants</w:t>
      </w:r>
      <w:r>
        <w:rPr>
          <w:rFonts w:ascii="Calibri" w:hAnsi="Calibri" w:cs="Calibri"/>
          <w:color w:val="00000A"/>
        </w:rPr>
        <w:t xml:space="preserve"> (cf. Annexe 6</w:t>
      </w:r>
      <w:proofErr w:type="gramStart"/>
      <w:r>
        <w:rPr>
          <w:rFonts w:ascii="Calibri" w:hAnsi="Calibri" w:cs="Calibri"/>
          <w:color w:val="00000A"/>
        </w:rPr>
        <w:t>);</w:t>
      </w:r>
      <w:proofErr w:type="gramEnd"/>
      <w:r>
        <w:rPr>
          <w:rFonts w:ascii="Calibri" w:hAnsi="Calibri" w:cs="Calibri"/>
          <w:color w:val="00000A"/>
        </w:rPr>
        <w:t xml:space="preserve"> </w:t>
      </w:r>
    </w:p>
    <w:p w14:paraId="0D3E7958" w14:textId="3F9CDB86" w:rsidR="00005D55" w:rsidRDefault="00BE446D" w:rsidP="00E721F8">
      <w:pPr>
        <w:pStyle w:val="western"/>
        <w:numPr>
          <w:ilvl w:val="0"/>
          <w:numId w:val="12"/>
        </w:numPr>
        <w:spacing w:before="240" w:after="0"/>
        <w:rPr>
          <w:rFonts w:ascii="Calibri" w:hAnsi="Calibri" w:cs="Calibri"/>
          <w:color w:val="00000A"/>
        </w:rPr>
      </w:pPr>
      <w:r>
        <w:rPr>
          <w:rFonts w:ascii="Calibri" w:hAnsi="Calibri" w:cs="Calibri"/>
          <w:color w:val="00000A"/>
        </w:rPr>
        <w:t xml:space="preserve">50 % maximum pour les projets situés </w:t>
      </w:r>
      <w:r>
        <w:rPr>
          <w:rFonts w:ascii="Calibri" w:hAnsi="Calibri" w:cs="Calibri"/>
          <w:color w:val="00000A"/>
          <w:u w:val="single"/>
        </w:rPr>
        <w:t>en secteur peu et moyennement dense</w:t>
      </w:r>
      <w:r>
        <w:rPr>
          <w:rFonts w:ascii="Calibri" w:hAnsi="Calibri" w:cs="Calibri"/>
          <w:color w:val="00000A"/>
        </w:rPr>
        <w:t xml:space="preserve">, définis comme étant situés dans une </w:t>
      </w:r>
      <w:r>
        <w:rPr>
          <w:rFonts w:ascii="Calibri" w:hAnsi="Calibri" w:cs="Calibri"/>
          <w:color w:val="00000A"/>
          <w:u w:val="single"/>
        </w:rPr>
        <w:t>unité urbaine de moins de 100 000 habitants</w:t>
      </w:r>
      <w:r>
        <w:rPr>
          <w:rFonts w:ascii="Calibri" w:hAnsi="Calibri" w:cs="Calibri"/>
          <w:color w:val="00000A"/>
        </w:rPr>
        <w:t xml:space="preserve"> (cf. Annexe 6) ; </w:t>
      </w:r>
    </w:p>
    <w:p w14:paraId="30C1EB67" w14:textId="77777777" w:rsidR="00005D55" w:rsidRDefault="00BE446D" w:rsidP="00E721F8">
      <w:pPr>
        <w:pStyle w:val="western"/>
        <w:numPr>
          <w:ilvl w:val="0"/>
          <w:numId w:val="12"/>
        </w:numPr>
        <w:spacing w:before="240" w:after="0"/>
        <w:rPr>
          <w:rFonts w:ascii="Calibri" w:hAnsi="Calibri" w:cs="Calibri"/>
          <w:color w:val="00000A"/>
        </w:rPr>
      </w:pPr>
      <w:r>
        <w:rPr>
          <w:rFonts w:ascii="Calibri" w:hAnsi="Calibri" w:cs="Calibri"/>
          <w:color w:val="00000A"/>
        </w:rPr>
        <w:t xml:space="preserve">60 % maximum pour les territoires d’outre-mer. </w:t>
      </w:r>
    </w:p>
    <w:p w14:paraId="1A709E5E" w14:textId="0F0C58A6" w:rsidR="00005D55" w:rsidRDefault="00BE446D">
      <w:pPr>
        <w:pStyle w:val="western"/>
        <w:spacing w:before="240" w:after="0"/>
        <w:rPr>
          <w:rFonts w:ascii="Calibri" w:hAnsi="Calibri" w:cs="Calibri"/>
          <w:color w:val="00000A"/>
        </w:rPr>
      </w:pPr>
      <w:r>
        <w:rPr>
          <w:rFonts w:ascii="Calibri" w:hAnsi="Calibri" w:cs="Calibri"/>
          <w:color w:val="00000A"/>
        </w:rPr>
        <w:t>Pour les projets réalisés en tout ou partie dans un quartier prioritaire de la « politique de la ville » (QPV), le taux d’aide maximal est porté à 25% en secteur dense et 60% en secteur peu et moyennement dense.</w:t>
      </w:r>
      <w:r w:rsidR="00814E4F">
        <w:rPr>
          <w:rFonts w:ascii="Calibri" w:hAnsi="Calibri" w:cs="Calibri"/>
          <w:color w:val="00000A"/>
        </w:rPr>
        <w:t xml:space="preserve"> Ce bonus n’est pas applicable à l’outre-mer.</w:t>
      </w:r>
    </w:p>
    <w:p w14:paraId="6D784EB8" w14:textId="77777777" w:rsidR="00005D55" w:rsidRDefault="00BE446D">
      <w:pPr>
        <w:pStyle w:val="western"/>
        <w:spacing w:before="240" w:after="0"/>
      </w:pPr>
      <w:r>
        <w:rPr>
          <w:rFonts w:ascii="Calibri" w:hAnsi="Calibri" w:cs="Calibri"/>
          <w:color w:val="00000A"/>
        </w:rPr>
        <w:t>Il est rappelé que conformément à l’article L 1111-10 du code général des collectivités territoriales, la part financée par le maître d’ouvrage ne peut être inférieure à 20 % du montant total des financements apportés par des personnes publiques.</w:t>
      </w:r>
    </w:p>
    <w:p w14:paraId="3B70C921" w14:textId="71AC4E78" w:rsidR="00005D55" w:rsidRDefault="00BE446D">
      <w:pPr>
        <w:pStyle w:val="western"/>
        <w:spacing w:before="240" w:after="0"/>
        <w:rPr>
          <w:b/>
        </w:rPr>
      </w:pPr>
      <w:r>
        <w:rPr>
          <w:rFonts w:ascii="Calibri" w:hAnsi="Calibri" w:cs="Calibri"/>
          <w:b/>
          <w:color w:val="00000A"/>
        </w:rPr>
        <w:t>L’aide demandée ne pourra être inférieure à 100 000 € par projet, tout en respectant les taux maximums indiqués ci-dessus. L’Etat se réserve le droit de verser une subvention inférieure</w:t>
      </w:r>
      <w:r w:rsidR="00814E4F">
        <w:rPr>
          <w:rFonts w:ascii="Calibri" w:hAnsi="Calibri" w:cs="Calibri"/>
          <w:b/>
          <w:color w:val="00000A"/>
        </w:rPr>
        <w:t>.</w:t>
      </w:r>
      <w:r>
        <w:rPr>
          <w:rFonts w:ascii="Calibri" w:hAnsi="Calibri" w:cs="Calibri"/>
          <w:b/>
          <w:color w:val="00000A"/>
        </w:rPr>
        <w:t xml:space="preserve"> Le montant total de l’aide par porteur de projet pourra être plafonné. </w:t>
      </w:r>
    </w:p>
    <w:p w14:paraId="70E0BA32" w14:textId="77777777" w:rsidR="00005D55" w:rsidRDefault="00BE446D">
      <w:pPr>
        <w:pStyle w:val="western"/>
        <w:spacing w:before="240" w:after="0"/>
      </w:pPr>
      <w:r>
        <w:rPr>
          <w:rFonts w:ascii="Calibri" w:hAnsi="Calibri" w:cs="Calibri"/>
        </w:rPr>
        <w:t>L’assiette éligible est exprimée en euros courants hors taxe et constituée des seuls coûts afférents au projet d’aménagement cyclable :</w:t>
      </w:r>
    </w:p>
    <w:p w14:paraId="78540DBE" w14:textId="77777777" w:rsidR="00005D55" w:rsidRDefault="00BE446D" w:rsidP="00E721F8">
      <w:pPr>
        <w:pStyle w:val="Paragraphedeliste"/>
        <w:numPr>
          <w:ilvl w:val="0"/>
          <w:numId w:val="6"/>
        </w:numPr>
        <w:tabs>
          <w:tab w:val="left" w:pos="-709"/>
        </w:tabs>
        <w:jc w:val="both"/>
      </w:pPr>
      <w:proofErr w:type="gramStart"/>
      <w:r>
        <w:rPr>
          <w:color w:val="000000"/>
        </w:rPr>
        <w:t>s’il</w:t>
      </w:r>
      <w:proofErr w:type="gramEnd"/>
      <w:r>
        <w:rPr>
          <w:color w:val="000000"/>
        </w:rPr>
        <w:t xml:space="preserve"> s’agit d’un ouvrage d’art neuf dédié aux modes actifs, l’assiette éligible correspond à la totalité des coûts ;</w:t>
      </w:r>
    </w:p>
    <w:p w14:paraId="4BA01C59" w14:textId="77777777" w:rsidR="00005D55" w:rsidRDefault="00BE446D" w:rsidP="00E721F8">
      <w:pPr>
        <w:pStyle w:val="Paragraphedeliste"/>
        <w:numPr>
          <w:ilvl w:val="0"/>
          <w:numId w:val="6"/>
        </w:numPr>
        <w:tabs>
          <w:tab w:val="left" w:pos="-709"/>
        </w:tabs>
        <w:jc w:val="both"/>
      </w:pPr>
      <w:proofErr w:type="gramStart"/>
      <w:r>
        <w:rPr>
          <w:color w:val="000000"/>
        </w:rPr>
        <w:t>s’il</w:t>
      </w:r>
      <w:proofErr w:type="gramEnd"/>
      <w:r>
        <w:rPr>
          <w:color w:val="000000"/>
        </w:rPr>
        <w:t xml:space="preserve"> s’agit d’un ouvrage d’art neuf qui n’est pas uniquement dédié aux modes actifs, l’assiette éligible correspond à la part des coûts au </w:t>
      </w:r>
      <w:r>
        <w:rPr>
          <w:i/>
          <w:color w:val="000000"/>
        </w:rPr>
        <w:t>prorata</w:t>
      </w:r>
      <w:r>
        <w:rPr>
          <w:color w:val="000000"/>
        </w:rPr>
        <w:t xml:space="preserve"> de la surface dédiée aux modes actifs ;</w:t>
      </w:r>
    </w:p>
    <w:p w14:paraId="586C5294" w14:textId="77777777" w:rsidR="00005D55" w:rsidRDefault="00BE446D" w:rsidP="00E721F8">
      <w:pPr>
        <w:pStyle w:val="Paragraphedeliste"/>
        <w:numPr>
          <w:ilvl w:val="0"/>
          <w:numId w:val="6"/>
        </w:numPr>
        <w:tabs>
          <w:tab w:val="left" w:pos="-709"/>
        </w:tabs>
        <w:spacing w:before="240" w:after="0"/>
        <w:jc w:val="both"/>
      </w:pPr>
      <w:proofErr w:type="gramStart"/>
      <w:r>
        <w:rPr>
          <w:color w:val="000000"/>
        </w:rPr>
        <w:t>s’il</w:t>
      </w:r>
      <w:proofErr w:type="gramEnd"/>
      <w:r>
        <w:rPr>
          <w:color w:val="000000"/>
        </w:rPr>
        <w:t xml:space="preserve"> s’agit de travaux sur chaussée routière ou d’une restauration d’ouvrage d’art permettant le passage des modes actifs, l’assiette éligible correspond à la part jugée indispensable à la réalisation des aménagements cyclables et piétons prévus par le projet ;</w:t>
      </w:r>
    </w:p>
    <w:p w14:paraId="4EA8E636" w14:textId="124D8781" w:rsidR="00005D55" w:rsidRDefault="00BE446D" w:rsidP="00E721F8">
      <w:pPr>
        <w:pStyle w:val="Paragraphedeliste"/>
        <w:numPr>
          <w:ilvl w:val="0"/>
          <w:numId w:val="6"/>
        </w:numPr>
        <w:tabs>
          <w:tab w:val="left" w:pos="-709"/>
        </w:tabs>
        <w:spacing w:before="240" w:after="0"/>
        <w:jc w:val="both"/>
      </w:pPr>
      <w:proofErr w:type="gramStart"/>
      <w:r>
        <w:rPr>
          <w:rFonts w:cs="Calibri"/>
          <w:color w:val="00000A"/>
        </w:rPr>
        <w:t>les</w:t>
      </w:r>
      <w:proofErr w:type="gramEnd"/>
      <w:r>
        <w:rPr>
          <w:rFonts w:cs="Calibri"/>
          <w:color w:val="00000A"/>
        </w:rPr>
        <w:t xml:space="preserve"> frais d’études et de maîtrise d’ouvrage sont éligibles s’ils sont externes </w:t>
      </w:r>
      <w:r w:rsidR="00814E4F">
        <w:rPr>
          <w:rFonts w:cs="Calibri"/>
          <w:color w:val="00000A"/>
        </w:rPr>
        <w:t xml:space="preserve">, </w:t>
      </w:r>
      <w:r>
        <w:rPr>
          <w:rFonts w:cs="Calibri"/>
          <w:color w:val="00000A"/>
        </w:rPr>
        <w:t xml:space="preserve">liés directement au projet (études d’avant-projet, étude d’impact, acquisitions foncières…) </w:t>
      </w:r>
      <w:r>
        <w:rPr>
          <w:rFonts w:cs="Calibri"/>
          <w:b/>
          <w:bCs/>
          <w:color w:val="00000A"/>
        </w:rPr>
        <w:t>et</w:t>
      </w:r>
      <w:r w:rsidRPr="00E721F8">
        <w:rPr>
          <w:b/>
          <w:color w:val="00000A"/>
        </w:rPr>
        <w:t xml:space="preserve"> </w:t>
      </w:r>
      <w:r>
        <w:rPr>
          <w:rFonts w:cs="Calibri"/>
          <w:b/>
          <w:bCs/>
          <w:color w:val="00000A"/>
        </w:rPr>
        <w:t>si l’acte juridique passé pour son exécution est postérieur à la date de dépôt du dossier</w:t>
      </w:r>
      <w:r w:rsidRPr="00E721F8">
        <w:rPr>
          <w:rStyle w:val="Ancredenotedebasdepage"/>
        </w:rPr>
        <w:footnoteReference w:id="6"/>
      </w:r>
      <w:r>
        <w:rPr>
          <w:rFonts w:cs="Calibri"/>
          <w:b/>
          <w:bCs/>
          <w:color w:val="00000A"/>
        </w:rPr>
        <w:t>.</w:t>
      </w:r>
    </w:p>
    <w:p w14:paraId="4094756B" w14:textId="77777777" w:rsidR="00005D55" w:rsidRDefault="00BE446D">
      <w:pPr>
        <w:spacing w:before="240" w:after="0"/>
        <w:jc w:val="both"/>
        <w:rPr>
          <w:color w:val="00000A"/>
        </w:rPr>
      </w:pPr>
      <w:r>
        <w:rPr>
          <w:color w:val="00000A"/>
        </w:rPr>
        <w:lastRenderedPageBreak/>
        <w:t>Il est rappelé que la DSIL et la DSID</w:t>
      </w:r>
      <w:r w:rsidRPr="00E721F8">
        <w:rPr>
          <w:rStyle w:val="Ancredenotedebasdepage"/>
        </w:rPr>
        <w:footnoteReference w:id="7"/>
      </w:r>
      <w:r>
        <w:rPr>
          <w:color w:val="00000A"/>
        </w:rPr>
        <w:t xml:space="preserve"> sont complémentaires à cet appel à projets. Elles peuvent notamment financer des aménagements non éligibles à l'appel à projets, cofinancer des aménagements éligibles particulièrement structurants, ou encore des investissements en faveur du "savoir rouler à vélo" (piste d'entraînement, vélo et équipements pour les enfants, ...). </w:t>
      </w:r>
    </w:p>
    <w:p w14:paraId="1A694E82" w14:textId="77777777" w:rsidR="00005D55" w:rsidRDefault="00BE446D">
      <w:pPr>
        <w:spacing w:before="240" w:after="0"/>
        <w:jc w:val="both"/>
        <w:rPr>
          <w:color w:val="00000A"/>
        </w:rPr>
      </w:pPr>
      <w:r>
        <w:rPr>
          <w:color w:val="00000A"/>
        </w:rPr>
        <w:t xml:space="preserve">Il est également possible de cumuler les subventions du Fonds mobilités actives et celles provenant d’autres sources notamment FEDER ou FEADER. </w:t>
      </w:r>
    </w:p>
    <w:p w14:paraId="54F59363" w14:textId="77777777" w:rsidR="00005D55" w:rsidRDefault="00BE446D" w:rsidP="00E721F8">
      <w:pPr>
        <w:pStyle w:val="Titre2"/>
        <w:tabs>
          <w:tab w:val="left" w:pos="-709"/>
        </w:tabs>
      </w:pPr>
      <w:bookmarkStart w:id="36" w:name="_Toc121221271"/>
      <w:bookmarkStart w:id="37" w:name="_Toc71566265"/>
      <w:bookmarkStart w:id="38" w:name="_Toc151019612"/>
      <w:r>
        <w:t>Composition et soumission du dossier de candidature</w:t>
      </w:r>
      <w:bookmarkEnd w:id="36"/>
      <w:bookmarkEnd w:id="37"/>
      <w:bookmarkEnd w:id="38"/>
    </w:p>
    <w:p w14:paraId="6C2425B6" w14:textId="77777777" w:rsidR="00005D55" w:rsidRDefault="00BE446D">
      <w:pPr>
        <w:pStyle w:val="western"/>
        <w:spacing w:before="240" w:after="0"/>
      </w:pPr>
      <w:r>
        <w:rPr>
          <w:rFonts w:ascii="Calibri" w:hAnsi="Calibri" w:cs="Calibri"/>
          <w:color w:val="00000A"/>
        </w:rPr>
        <w:t xml:space="preserve">Le projet sera porté par un « porteur du projet », représentant le territoire et qui devra présenter, coordonner et animer la réalisation du projet. </w:t>
      </w:r>
    </w:p>
    <w:p w14:paraId="41C7B4C6" w14:textId="435427F2" w:rsidR="00005D55" w:rsidRDefault="00BE446D">
      <w:pPr>
        <w:pStyle w:val="western"/>
        <w:spacing w:before="240" w:after="0"/>
      </w:pPr>
      <w:r>
        <w:rPr>
          <w:rFonts w:ascii="Calibri" w:hAnsi="Calibri" w:cs="Calibri"/>
          <w:color w:val="00000A"/>
        </w:rPr>
        <w:t xml:space="preserve">Les dossiers de candidature devront être déposés sur la plateforme de dépôt </w:t>
      </w:r>
      <w:r>
        <w:rPr>
          <w:rFonts w:ascii="Calibri" w:hAnsi="Calibri" w:cs="Calibri"/>
        </w:rPr>
        <w:t>avant le 08 mars</w:t>
      </w:r>
      <w:r w:rsidR="006C3401">
        <w:rPr>
          <w:rFonts w:ascii="Calibri" w:hAnsi="Calibri" w:cs="Calibri"/>
        </w:rPr>
        <w:t xml:space="preserve"> </w:t>
      </w:r>
      <w:r w:rsidR="00CE428E">
        <w:rPr>
          <w:rFonts w:ascii="Calibri" w:hAnsi="Calibri" w:cs="Calibri"/>
        </w:rPr>
        <w:t>2024</w:t>
      </w:r>
      <w:r>
        <w:rPr>
          <w:rFonts w:ascii="Calibri" w:hAnsi="Calibri" w:cs="Calibri"/>
        </w:rPr>
        <w:t xml:space="preserve"> à 23h59, à l’adresse suivante :</w:t>
      </w:r>
    </w:p>
    <w:p w14:paraId="256EDAEF" w14:textId="00DEC14C" w:rsidR="00005D55" w:rsidRDefault="00BE446D">
      <w:pPr>
        <w:pStyle w:val="western"/>
        <w:spacing w:before="240" w:after="0"/>
        <w:rPr>
          <w:rStyle w:val="Policepardfaut7"/>
          <w:rFonts w:ascii="Calibri" w:hAnsi="Calibri" w:cs="Calibri"/>
        </w:rPr>
      </w:pPr>
      <w:r>
        <w:rPr>
          <w:rFonts w:ascii="Calibri" w:hAnsi="Calibri" w:cs="Calibri"/>
        </w:rPr>
        <w:t>https://www.demarches-simplifiees.fr/commencer/aap-amenagements-cyclables2024</w:t>
      </w:r>
    </w:p>
    <w:p w14:paraId="28D1D5D9" w14:textId="77777777" w:rsidR="00005D55" w:rsidRDefault="00BE446D">
      <w:pPr>
        <w:pStyle w:val="western"/>
        <w:spacing w:before="240" w:after="0"/>
      </w:pPr>
      <w:r>
        <w:rPr>
          <w:rFonts w:ascii="Calibri" w:hAnsi="Calibri" w:cs="Calibri"/>
        </w:rPr>
        <w:t>Le dossier de candidature doit être constitué :</w:t>
      </w:r>
    </w:p>
    <w:p w14:paraId="1505A334" w14:textId="77777777" w:rsidR="00005D55" w:rsidRDefault="00BE446D" w:rsidP="00E721F8">
      <w:pPr>
        <w:numPr>
          <w:ilvl w:val="0"/>
          <w:numId w:val="9"/>
        </w:numPr>
        <w:tabs>
          <w:tab w:val="left" w:pos="-709"/>
        </w:tabs>
        <w:jc w:val="both"/>
      </w:pPr>
      <w:proofErr w:type="gramStart"/>
      <w:r>
        <w:t>du</w:t>
      </w:r>
      <w:proofErr w:type="gramEnd"/>
      <w:r>
        <w:t xml:space="preserve"> formulaire à remplir en ligne sous « démarches-simplifiées.fr » (voir modalités de dépôt des dossiers en Annexe 1) ;</w:t>
      </w:r>
    </w:p>
    <w:p w14:paraId="1452AC4E" w14:textId="48E77433" w:rsidR="00005D55" w:rsidRDefault="00BE446D" w:rsidP="00E721F8">
      <w:pPr>
        <w:numPr>
          <w:ilvl w:val="0"/>
          <w:numId w:val="9"/>
        </w:numPr>
        <w:tabs>
          <w:tab w:val="left" w:pos="-709"/>
        </w:tabs>
        <w:jc w:val="both"/>
      </w:pPr>
      <w:proofErr w:type="gramStart"/>
      <w:r>
        <w:t>d’un</w:t>
      </w:r>
      <w:proofErr w:type="gramEnd"/>
      <w:r>
        <w:t xml:space="preserve"> dossier de présentation du projet au format .</w:t>
      </w:r>
      <w:proofErr w:type="spellStart"/>
      <w:r>
        <w:rPr>
          <w:i/>
        </w:rPr>
        <w:t>pdf</w:t>
      </w:r>
      <w:proofErr w:type="spellEnd"/>
      <w:r>
        <w:t xml:space="preserve"> selon la décomposition présentée en Annexe 2 : les éléments fournis doivent permettre au comité de sélection de vérifier son éligibilité (parties C.1, C.2, D.1, D.2 et E.1) et de conduire l’évaluation selon les critères détaillés en partie E.2 ; </w:t>
      </w:r>
    </w:p>
    <w:p w14:paraId="42A8D878" w14:textId="77777777" w:rsidR="00005D55" w:rsidRDefault="00BE446D" w:rsidP="00E721F8">
      <w:pPr>
        <w:numPr>
          <w:ilvl w:val="0"/>
          <w:numId w:val="9"/>
        </w:numPr>
        <w:tabs>
          <w:tab w:val="left" w:pos="-709"/>
        </w:tabs>
        <w:jc w:val="both"/>
      </w:pPr>
      <w:proofErr w:type="gramStart"/>
      <w:r>
        <w:t>d’une</w:t>
      </w:r>
      <w:proofErr w:type="gramEnd"/>
      <w:r>
        <w:t xml:space="preserve"> lettre d’engagement sur l’honneur signée par la personne habilitée à engager le territoire selon le modèle en Annexe 4 à signer et à joindre au format .</w:t>
      </w:r>
      <w:proofErr w:type="spellStart"/>
      <w:r>
        <w:rPr>
          <w:i/>
        </w:rPr>
        <w:t>pdf</w:t>
      </w:r>
      <w:proofErr w:type="spellEnd"/>
      <w:r>
        <w:rPr>
          <w:i/>
        </w:rPr>
        <w:t> </w:t>
      </w:r>
      <w:r>
        <w:t>;</w:t>
      </w:r>
    </w:p>
    <w:p w14:paraId="62854CE8" w14:textId="77777777" w:rsidR="00005D55" w:rsidRDefault="00BE446D" w:rsidP="00E721F8">
      <w:pPr>
        <w:numPr>
          <w:ilvl w:val="0"/>
          <w:numId w:val="9"/>
        </w:numPr>
        <w:tabs>
          <w:tab w:val="left" w:pos="-709"/>
        </w:tabs>
        <w:jc w:val="both"/>
      </w:pPr>
      <w:proofErr w:type="gramStart"/>
      <w:r>
        <w:t>d’une</w:t>
      </w:r>
      <w:proofErr w:type="gramEnd"/>
      <w:r>
        <w:t xml:space="preserve"> fiche descriptive des coûts (voir Annexe 5 - fichier à remplir et joindre au dossier au format </w:t>
      </w:r>
      <w:r>
        <w:rPr>
          <w:i/>
        </w:rPr>
        <w:t>.</w:t>
      </w:r>
      <w:proofErr w:type="spellStart"/>
      <w:r>
        <w:rPr>
          <w:i/>
        </w:rPr>
        <w:t>xls</w:t>
      </w:r>
      <w:proofErr w:type="spellEnd"/>
      <w:r>
        <w:rPr>
          <w:i/>
        </w:rPr>
        <w:t xml:space="preserve"> ou .xlsx</w:t>
      </w:r>
      <w:r>
        <w:t xml:space="preserve">) ; </w:t>
      </w:r>
    </w:p>
    <w:p w14:paraId="2EE44DE7" w14:textId="77777777" w:rsidR="00005D55" w:rsidRDefault="00BE446D" w:rsidP="00E721F8">
      <w:pPr>
        <w:numPr>
          <w:ilvl w:val="0"/>
          <w:numId w:val="9"/>
        </w:numPr>
        <w:tabs>
          <w:tab w:val="left" w:pos="-709"/>
        </w:tabs>
        <w:jc w:val="both"/>
      </w:pPr>
      <w:r>
        <w:t>Si des partenaires sont associés au projet, le porteur de projet devra apporter la preuve qu’il représente valablement les autres partenaires dans cette démarche.</w:t>
      </w:r>
    </w:p>
    <w:p w14:paraId="078D66CC" w14:textId="77777777" w:rsidR="00005D55" w:rsidRDefault="00BE446D" w:rsidP="00E721F8">
      <w:pPr>
        <w:numPr>
          <w:ilvl w:val="0"/>
          <w:numId w:val="9"/>
        </w:numPr>
        <w:tabs>
          <w:tab w:val="left" w:pos="-709"/>
        </w:tabs>
        <w:jc w:val="both"/>
      </w:pPr>
      <w:r>
        <w:t>D’un relevé d’identité bancaire et d’un SIRET</w:t>
      </w:r>
    </w:p>
    <w:p w14:paraId="56AD4559" w14:textId="0EB02262" w:rsidR="00005D55" w:rsidRDefault="00BE446D">
      <w:pPr>
        <w:pStyle w:val="western"/>
        <w:spacing w:before="240" w:after="0"/>
        <w:rPr>
          <w:rFonts w:ascii="Calibri" w:hAnsi="Calibri" w:cs="Calibri"/>
        </w:rPr>
      </w:pPr>
      <w:r>
        <w:rPr>
          <w:rFonts w:ascii="Calibri" w:hAnsi="Calibri" w:cs="Calibri"/>
        </w:rPr>
        <w:t>Des compléments au dossier pourront être demandés par les services instructeurs.</w:t>
      </w:r>
    </w:p>
    <w:p w14:paraId="504A4BBC" w14:textId="77777777" w:rsidR="00005D55" w:rsidRDefault="00BE446D" w:rsidP="00E721F8">
      <w:pPr>
        <w:pStyle w:val="Titre1"/>
        <w:tabs>
          <w:tab w:val="left" w:pos="-709"/>
        </w:tabs>
        <w:spacing w:before="480" w:after="0"/>
        <w:ind w:left="1077" w:hanging="357"/>
      </w:pPr>
      <w:bookmarkStart w:id="39" w:name="_Toc121221272"/>
      <w:bookmarkStart w:id="40" w:name="_Toc71566266"/>
      <w:bookmarkStart w:id="41" w:name="_Toc151019613"/>
      <w:r>
        <w:rPr>
          <w:rFonts w:ascii="Calibri" w:hAnsi="Calibri" w:cs="Calibri"/>
          <w:caps w:val="0"/>
        </w:rPr>
        <w:t>ANALYSE DES DOSSIERS</w:t>
      </w:r>
      <w:bookmarkEnd w:id="39"/>
      <w:bookmarkEnd w:id="40"/>
      <w:bookmarkEnd w:id="41"/>
    </w:p>
    <w:p w14:paraId="4D48546C" w14:textId="77777777" w:rsidR="00005D55" w:rsidRDefault="00BE446D" w:rsidP="00E721F8">
      <w:pPr>
        <w:pStyle w:val="Titre2"/>
        <w:tabs>
          <w:tab w:val="left" w:pos="-709"/>
        </w:tabs>
      </w:pPr>
      <w:bookmarkStart w:id="42" w:name="_Toc121221273"/>
      <w:bookmarkStart w:id="43" w:name="_Toc71566267"/>
      <w:bookmarkStart w:id="44" w:name="_Ref26965772"/>
      <w:bookmarkStart w:id="45" w:name="_Toc151019614"/>
      <w:r>
        <w:t>Critères de recevabilité et d’éligibilité</w:t>
      </w:r>
      <w:bookmarkEnd w:id="42"/>
      <w:bookmarkEnd w:id="43"/>
      <w:bookmarkEnd w:id="44"/>
      <w:bookmarkEnd w:id="45"/>
    </w:p>
    <w:p w14:paraId="6ADB8700" w14:textId="77777777" w:rsidR="00005D55" w:rsidRDefault="00BE446D">
      <w:pPr>
        <w:pStyle w:val="western"/>
        <w:spacing w:before="240" w:after="0"/>
      </w:pPr>
      <w:r>
        <w:rPr>
          <w:rFonts w:ascii="Calibri" w:hAnsi="Calibri" w:cs="Calibri"/>
        </w:rPr>
        <w:t>L’instruction permet de s’assurer de la recevabilité et de l’éligibilité des dossiers.</w:t>
      </w:r>
    </w:p>
    <w:p w14:paraId="02D70E0E" w14:textId="77777777" w:rsidR="00005D55" w:rsidRDefault="00BE446D">
      <w:pPr>
        <w:pStyle w:val="western"/>
        <w:spacing w:before="240" w:after="0"/>
      </w:pPr>
      <w:r>
        <w:rPr>
          <w:rFonts w:ascii="Calibri" w:hAnsi="Calibri" w:cs="Calibri"/>
          <w:color w:val="auto"/>
        </w:rPr>
        <w:t>Ne sont pas recevables :</w:t>
      </w:r>
    </w:p>
    <w:p w14:paraId="0F42D6BA" w14:textId="77777777" w:rsidR="00005D55" w:rsidRDefault="00BE446D" w:rsidP="00E721F8">
      <w:pPr>
        <w:pStyle w:val="western"/>
        <w:numPr>
          <w:ilvl w:val="0"/>
          <w:numId w:val="3"/>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dossiers soumis hors délai ; </w:t>
      </w:r>
    </w:p>
    <w:p w14:paraId="1234546C" w14:textId="77777777" w:rsidR="00005D55" w:rsidRDefault="00BE446D" w:rsidP="00E721F8">
      <w:pPr>
        <w:pStyle w:val="western"/>
        <w:numPr>
          <w:ilvl w:val="0"/>
          <w:numId w:val="3"/>
        </w:numPr>
        <w:tabs>
          <w:tab w:val="left" w:pos="-709"/>
        </w:tabs>
        <w:spacing w:before="240" w:after="0"/>
      </w:pPr>
      <w:proofErr w:type="gramStart"/>
      <w:r>
        <w:rPr>
          <w:rFonts w:ascii="Calibri" w:hAnsi="Calibri" w:cs="Calibri"/>
          <w:color w:val="auto"/>
        </w:rPr>
        <w:lastRenderedPageBreak/>
        <w:t>les</w:t>
      </w:r>
      <w:proofErr w:type="gramEnd"/>
      <w:r>
        <w:rPr>
          <w:rFonts w:ascii="Calibri" w:hAnsi="Calibri" w:cs="Calibri"/>
          <w:color w:val="auto"/>
        </w:rPr>
        <w:t xml:space="preserve"> dossiers incomplets ou ne respectant pas les formats de soumission ou insuffisamment lisibles ;</w:t>
      </w:r>
    </w:p>
    <w:p w14:paraId="7C977C36" w14:textId="77777777" w:rsidR="00005D55" w:rsidRDefault="00BE446D" w:rsidP="00E721F8">
      <w:pPr>
        <w:pStyle w:val="western"/>
        <w:numPr>
          <w:ilvl w:val="0"/>
          <w:numId w:val="3"/>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dossiers présentant des incohérences entre les éléments fournis ;</w:t>
      </w:r>
    </w:p>
    <w:p w14:paraId="5A8520AC" w14:textId="1623C46C" w:rsidR="00005D55" w:rsidRDefault="00BE446D" w:rsidP="00E721F8">
      <w:pPr>
        <w:pStyle w:val="western"/>
        <w:numPr>
          <w:ilvl w:val="0"/>
          <w:numId w:val="3"/>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dossiers non déposés via la plateforme « démarches-simplifiées.fr ».</w:t>
      </w:r>
    </w:p>
    <w:p w14:paraId="40434678" w14:textId="77777777" w:rsidR="00005D55" w:rsidRDefault="00BE446D">
      <w:pPr>
        <w:pStyle w:val="western"/>
        <w:spacing w:before="240" w:after="0"/>
      </w:pPr>
      <w:r>
        <w:rPr>
          <w:rFonts w:ascii="Calibri" w:hAnsi="Calibri" w:cs="Calibri"/>
          <w:color w:val="auto"/>
        </w:rPr>
        <w:t>Ne sont pas éligibles :</w:t>
      </w:r>
    </w:p>
    <w:p w14:paraId="6FF33738" w14:textId="77777777" w:rsidR="00005D55" w:rsidRDefault="00BE446D" w:rsidP="00E721F8">
      <w:pPr>
        <w:pStyle w:val="western"/>
        <w:numPr>
          <w:ilvl w:val="0"/>
          <w:numId w:val="5"/>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typologies de projets n’entrant pas dans le champ de l’appel à projets (cf. partie C.1) Un projet ne respectant pas strictement cette définition restera éligible si et seulement si ce choix est argumenté par le porteur (projet en lien avec une action cœur de ville ou un quartier prioritaire de la ville, reste de l’itinéraire en cours de réalisation et non existant…). ;</w:t>
      </w:r>
    </w:p>
    <w:p w14:paraId="609A4013" w14:textId="2EE03791" w:rsidR="00005D55" w:rsidRDefault="00BE446D" w:rsidP="00E721F8">
      <w:pPr>
        <w:pStyle w:val="western"/>
        <w:numPr>
          <w:ilvl w:val="0"/>
          <w:numId w:val="5"/>
        </w:numPr>
        <w:tabs>
          <w:tab w:val="left" w:pos="-709"/>
        </w:tabs>
        <w:spacing w:before="240" w:after="0"/>
        <w:rPr>
          <w:rFonts w:ascii="Calibri" w:hAnsi="Calibri" w:cs="Calibri"/>
          <w:color w:val="auto"/>
        </w:rPr>
      </w:pPr>
      <w:proofErr w:type="gramStart"/>
      <w:r>
        <w:rPr>
          <w:rFonts w:ascii="Calibri" w:hAnsi="Calibri" w:cs="Calibri"/>
          <w:color w:val="auto"/>
        </w:rPr>
        <w:t>les</w:t>
      </w:r>
      <w:proofErr w:type="gramEnd"/>
      <w:r>
        <w:rPr>
          <w:rFonts w:ascii="Calibri" w:hAnsi="Calibri" w:cs="Calibri"/>
          <w:color w:val="auto"/>
        </w:rPr>
        <w:t xml:space="preserve"> projets ne respectant pas les critères de qualité définis en partie C.1. Un projet ne respectant pas strictement ces critères restera éligible si et seulement si les dérogations sont ponctuelles et dûment justifiées.</w:t>
      </w:r>
    </w:p>
    <w:p w14:paraId="189905ED" w14:textId="77777777" w:rsidR="00005D55" w:rsidRDefault="00BE446D" w:rsidP="00E721F8">
      <w:pPr>
        <w:pStyle w:val="western"/>
        <w:numPr>
          <w:ilvl w:val="0"/>
          <w:numId w:val="5"/>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projets dont le premier marché de travaux ne sera pas notifié dans les 18 mois après l’annonce des lauréats, exception faite des projets particulièrement complexes ;</w:t>
      </w:r>
    </w:p>
    <w:p w14:paraId="41851397" w14:textId="77777777" w:rsidR="00005D55" w:rsidRDefault="00BE446D" w:rsidP="00E721F8">
      <w:pPr>
        <w:pStyle w:val="western"/>
        <w:numPr>
          <w:ilvl w:val="0"/>
          <w:numId w:val="5"/>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projets dont le premier marché de travaux aura été notifié avant l’annonce des lauréats (cf. partie C.2) ; </w:t>
      </w:r>
    </w:p>
    <w:p w14:paraId="294D4E11" w14:textId="6AC08B8B" w:rsidR="00005D55" w:rsidRDefault="00BE446D" w:rsidP="00E721F8">
      <w:pPr>
        <w:pStyle w:val="western"/>
        <w:numPr>
          <w:ilvl w:val="0"/>
          <w:numId w:val="5"/>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projets dont la mise en service projetée est supérieure à 48 mois après l’annonce des lauréats. Une prolongation pourra cependant, en cas exceptionnel de nécessité avérée, être autorisée par avenant à la convention de financement (cf. partie C.2) ; </w:t>
      </w:r>
    </w:p>
    <w:p w14:paraId="15B89D39" w14:textId="77777777" w:rsidR="00005D55" w:rsidRDefault="00BE446D" w:rsidP="00E721F8">
      <w:pPr>
        <w:pStyle w:val="western"/>
        <w:numPr>
          <w:ilvl w:val="0"/>
          <w:numId w:val="5"/>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projets dont le porteur n’est pas éligible (cf. partie D.1) ; </w:t>
      </w:r>
    </w:p>
    <w:p w14:paraId="66744C47" w14:textId="747AFEE7" w:rsidR="00005D55" w:rsidRDefault="00BE446D" w:rsidP="00E721F8">
      <w:pPr>
        <w:pStyle w:val="western"/>
        <w:numPr>
          <w:ilvl w:val="0"/>
          <w:numId w:val="5"/>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projets pour lesquels l’aide ou le taux de subvention demandés ne respectent pa</w:t>
      </w:r>
      <w:r w:rsidR="002877C6">
        <w:rPr>
          <w:rFonts w:ascii="Calibri" w:hAnsi="Calibri" w:cs="Calibri"/>
          <w:color w:val="auto"/>
        </w:rPr>
        <w:t>s</w:t>
      </w:r>
      <w:r>
        <w:rPr>
          <w:rFonts w:ascii="Calibri" w:hAnsi="Calibri" w:cs="Calibri"/>
          <w:color w:val="auto"/>
        </w:rPr>
        <w:t xml:space="preserve"> les conditions présentées en partie D.2 ;</w:t>
      </w:r>
    </w:p>
    <w:p w14:paraId="169F1EF4" w14:textId="2D91E82B" w:rsidR="00005D55" w:rsidRDefault="00BE446D" w:rsidP="00E721F8">
      <w:pPr>
        <w:pStyle w:val="western"/>
        <w:numPr>
          <w:ilvl w:val="0"/>
          <w:numId w:val="5"/>
        </w:numPr>
        <w:tabs>
          <w:tab w:val="left" w:pos="-709"/>
        </w:tabs>
        <w:spacing w:before="240" w:after="0"/>
      </w:pPr>
      <w:proofErr w:type="gramStart"/>
      <w:r>
        <w:rPr>
          <w:rFonts w:ascii="Calibri" w:hAnsi="Calibri" w:cs="Calibri"/>
          <w:color w:val="auto"/>
        </w:rPr>
        <w:t>les</w:t>
      </w:r>
      <w:proofErr w:type="gramEnd"/>
      <w:r>
        <w:rPr>
          <w:rFonts w:ascii="Calibri" w:hAnsi="Calibri" w:cs="Calibri"/>
          <w:color w:val="auto"/>
        </w:rPr>
        <w:t xml:space="preserve"> projets ayant déjà bénéficié d’une subvention au titre du « fonds mobilité actives ».</w:t>
      </w:r>
    </w:p>
    <w:p w14:paraId="71734457" w14:textId="77777777" w:rsidR="00005D55" w:rsidRDefault="00BE446D">
      <w:pPr>
        <w:pStyle w:val="western"/>
        <w:spacing w:before="240" w:after="0"/>
      </w:pPr>
      <w:r>
        <w:rPr>
          <w:rFonts w:ascii="Calibri" w:hAnsi="Calibri" w:cs="Calibri"/>
          <w:b/>
          <w:color w:val="auto"/>
        </w:rPr>
        <w:t>La lisibilité et la cohérence des pièces du dossier sont essentielles</w:t>
      </w:r>
      <w:r>
        <w:rPr>
          <w:rFonts w:ascii="Calibri" w:hAnsi="Calibri" w:cs="Calibri"/>
          <w:color w:val="auto"/>
        </w:rPr>
        <w:t>. La candidature devra comporter suffisamment de détails et de justifications pour permettre d’évaluer les aspects techniques et financiers et les répercussions attendues ainsi que la qualité des aménagements projetés.</w:t>
      </w:r>
    </w:p>
    <w:p w14:paraId="6E11A54E" w14:textId="77777777" w:rsidR="00005D55" w:rsidRDefault="00BE446D" w:rsidP="00E721F8">
      <w:pPr>
        <w:pStyle w:val="NormalWeb"/>
        <w:spacing w:after="0" w:line="240" w:lineRule="auto"/>
        <w:jc w:val="both"/>
      </w:pPr>
      <w:r>
        <w:rPr>
          <w:i/>
        </w:rPr>
        <w:t xml:space="preserve">Vous êtes invité à tester l’éligibilité de votre projet avant le dépôt du dossier, par l’intermédiaire du tableau en annexe 7. Ce test d'éligibilité a pour objectif d'éviter au porteur de projet de déposer un dossier qui ne serait manifestement pas éligible. Ce test ne préjuge pas si le projet sera retenu ou non à l'issue du processus de sélection. </w:t>
      </w:r>
    </w:p>
    <w:p w14:paraId="35FF8A29" w14:textId="77777777" w:rsidR="00005D55" w:rsidRDefault="00BE446D" w:rsidP="00E721F8">
      <w:pPr>
        <w:pStyle w:val="Titre2"/>
        <w:tabs>
          <w:tab w:val="left" w:pos="-709"/>
        </w:tabs>
      </w:pPr>
      <w:bookmarkStart w:id="46" w:name="_Toc121221274"/>
      <w:bookmarkStart w:id="47" w:name="_Toc71566268"/>
      <w:bookmarkStart w:id="48" w:name="_Ref26965782"/>
      <w:bookmarkStart w:id="49" w:name="_Toc151019615"/>
      <w:r>
        <w:t>Critères d’évaluation</w:t>
      </w:r>
      <w:bookmarkEnd w:id="46"/>
      <w:bookmarkEnd w:id="47"/>
      <w:bookmarkEnd w:id="48"/>
      <w:bookmarkEnd w:id="49"/>
    </w:p>
    <w:p w14:paraId="2764253B" w14:textId="77777777" w:rsidR="00005D55" w:rsidRDefault="00BE446D">
      <w:pPr>
        <w:pStyle w:val="western"/>
        <w:spacing w:before="240" w:after="0"/>
      </w:pPr>
      <w:r>
        <w:rPr>
          <w:rFonts w:ascii="Calibri" w:hAnsi="Calibri" w:cs="Calibri"/>
          <w:color w:val="auto"/>
        </w:rPr>
        <w:t>Les dossiers de candidature devront contenir l’ensemble des informations nécessaires à l’évaluation. La lisibilité et la clarté d’exposition du dossier faciliteront son analyse et sa compréhension. Seules les propositions de projets satisfaisant aux critères de recevabilité et d’éligibilité seront évaluées. Les critères d’évaluation sont les suivants :</w:t>
      </w:r>
    </w:p>
    <w:p w14:paraId="47F51636" w14:textId="77777777" w:rsidR="00005D55" w:rsidRDefault="00BE446D" w:rsidP="00E721F8">
      <w:pPr>
        <w:pStyle w:val="western"/>
        <w:numPr>
          <w:ilvl w:val="0"/>
          <w:numId w:val="8"/>
        </w:numPr>
        <w:tabs>
          <w:tab w:val="left" w:pos="-709"/>
        </w:tabs>
        <w:spacing w:before="240"/>
        <w:rPr>
          <w:b/>
        </w:rPr>
      </w:pPr>
      <w:r>
        <w:rPr>
          <w:rFonts w:ascii="Calibri" w:hAnsi="Calibri" w:cs="Calibri"/>
          <w:b/>
          <w:color w:val="auto"/>
        </w:rPr>
        <w:t>Gouvernance et insertion dans une politique de déplacements :</w:t>
      </w:r>
    </w:p>
    <w:p w14:paraId="2061DDED"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lastRenderedPageBreak/>
        <w:t>l’inscription</w:t>
      </w:r>
      <w:proofErr w:type="gramEnd"/>
      <w:r>
        <w:rPr>
          <w:rFonts w:ascii="Calibri" w:hAnsi="Calibri" w:cs="Calibri"/>
          <w:color w:val="auto"/>
        </w:rPr>
        <w:t xml:space="preserve"> du projet dans une politique cyclable locale (interactions avec les itinéraires existants) et la cohérence avec les documents de planification locale (plans de mobilité, plans de mobilité simplifié, schémas directeurs cyclables supra ou infra-territoriaux…);</w:t>
      </w:r>
    </w:p>
    <w:p w14:paraId="658B8B70"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l’implication</w:t>
      </w:r>
      <w:proofErr w:type="gramEnd"/>
      <w:r>
        <w:rPr>
          <w:rFonts w:ascii="Calibri" w:hAnsi="Calibri" w:cs="Calibri"/>
          <w:color w:val="auto"/>
        </w:rPr>
        <w:t xml:space="preserve"> des associations ou des usagers (à défaut une consultation publique) ;</w:t>
      </w:r>
    </w:p>
    <w:p w14:paraId="35712653"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les</w:t>
      </w:r>
      <w:proofErr w:type="gramEnd"/>
      <w:r>
        <w:rPr>
          <w:rFonts w:ascii="Calibri" w:hAnsi="Calibri" w:cs="Calibri"/>
          <w:color w:val="auto"/>
        </w:rPr>
        <w:t xml:space="preserve"> impacts attendus sur les déplacements vélo du quotidien : description du type de populations touchées, du type de liaisons permises par l’infrastructure projetée, du type de trajets concernés, réduction des distances à pied et à vélo entre l’infrastructure projetée et les principaux pôles générateurs de déplacements. Dans le cas de la pérennisation d’aménagements cyclables de transition, une évaluation qualitative et/ou quantitative de l’attractivité de l’itinéraire est attendue ;</w:t>
      </w:r>
    </w:p>
    <w:p w14:paraId="50D80170"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la</w:t>
      </w:r>
      <w:proofErr w:type="gramEnd"/>
      <w:r>
        <w:rPr>
          <w:rFonts w:ascii="Calibri" w:hAnsi="Calibri" w:cs="Calibri"/>
          <w:color w:val="auto"/>
        </w:rPr>
        <w:t xml:space="preserve"> cohérence du calendrier de réalisation prévisionnel (études, autorisations, travaux), l’état de maturité du projet au regard de l’état des procédures (commande publique, concertation, acquisitions foncières, contraintes environnementales…).</w:t>
      </w:r>
    </w:p>
    <w:p w14:paraId="09BC03E0" w14:textId="77777777" w:rsidR="00005D55" w:rsidRDefault="00BE446D" w:rsidP="00E721F8">
      <w:pPr>
        <w:pStyle w:val="western"/>
        <w:numPr>
          <w:ilvl w:val="0"/>
          <w:numId w:val="8"/>
        </w:numPr>
        <w:tabs>
          <w:tab w:val="left" w:pos="-709"/>
        </w:tabs>
        <w:spacing w:before="240"/>
        <w:rPr>
          <w:b/>
        </w:rPr>
      </w:pPr>
      <w:r>
        <w:rPr>
          <w:rFonts w:ascii="Calibri" w:hAnsi="Calibri" w:cs="Calibri"/>
          <w:b/>
          <w:color w:val="auto"/>
        </w:rPr>
        <w:t>Qualité technique :</w:t>
      </w:r>
    </w:p>
    <w:p w14:paraId="0CED6838" w14:textId="77777777" w:rsidR="00005D55" w:rsidRDefault="00BE446D" w:rsidP="00E721F8">
      <w:pPr>
        <w:pStyle w:val="western"/>
        <w:numPr>
          <w:ilvl w:val="0"/>
          <w:numId w:val="11"/>
        </w:numPr>
        <w:tabs>
          <w:tab w:val="left" w:pos="-709"/>
        </w:tabs>
        <w:spacing w:before="120" w:after="0"/>
        <w:ind w:left="1066" w:hanging="357"/>
        <w:rPr>
          <w:rFonts w:ascii="Calibri" w:hAnsi="Calibri" w:cs="Calibri"/>
          <w:color w:val="auto"/>
        </w:rPr>
      </w:pPr>
      <w:proofErr w:type="gramStart"/>
      <w:r>
        <w:rPr>
          <w:rFonts w:ascii="Calibri" w:hAnsi="Calibri" w:cs="Calibri"/>
          <w:color w:val="auto"/>
        </w:rPr>
        <w:t>lisibilité</w:t>
      </w:r>
      <w:proofErr w:type="gramEnd"/>
      <w:r>
        <w:rPr>
          <w:rFonts w:ascii="Calibri" w:hAnsi="Calibri" w:cs="Calibri"/>
          <w:color w:val="auto"/>
        </w:rPr>
        <w:t xml:space="preserve"> et complétude des éléments techniques fournis ;</w:t>
      </w:r>
    </w:p>
    <w:p w14:paraId="0AC3D688"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conformité</w:t>
      </w:r>
      <w:proofErr w:type="gramEnd"/>
      <w:r>
        <w:rPr>
          <w:rFonts w:ascii="Calibri" w:hAnsi="Calibri" w:cs="Calibri"/>
          <w:color w:val="auto"/>
        </w:rPr>
        <w:t xml:space="preserve"> de l’aménagement à la réglementation (statut de la voie, signalisation, etc.) et cohérence entre le statut réglementaire et les usages attendus ;</w:t>
      </w:r>
    </w:p>
    <w:p w14:paraId="1609DD00"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respect</w:t>
      </w:r>
      <w:proofErr w:type="gramEnd"/>
      <w:r>
        <w:rPr>
          <w:rFonts w:ascii="Calibri" w:hAnsi="Calibri" w:cs="Calibri"/>
          <w:color w:val="auto"/>
        </w:rPr>
        <w:t xml:space="preserve">, sur </w:t>
      </w:r>
      <w:r>
        <w:rPr>
          <w:rFonts w:ascii="Calibri" w:hAnsi="Calibri" w:cs="Calibri"/>
          <w:color w:val="auto"/>
          <w:u w:val="single"/>
        </w:rPr>
        <w:t>chacune des sections d’aménagement</w:t>
      </w:r>
      <w:r>
        <w:rPr>
          <w:rFonts w:ascii="Calibri" w:hAnsi="Calibri" w:cs="Calibri"/>
          <w:color w:val="auto"/>
        </w:rPr>
        <w:t>, des recommandations du CEREMA en matière de type d’aménagement retenu (pistes cyclables, voies vertes) en fonction du trafic et de la vitesse pratiquée des véhicules ;</w:t>
      </w:r>
    </w:p>
    <w:p w14:paraId="13700851"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respect</w:t>
      </w:r>
      <w:proofErr w:type="gramEnd"/>
      <w:r>
        <w:rPr>
          <w:rFonts w:ascii="Calibri" w:hAnsi="Calibri" w:cs="Calibri"/>
          <w:color w:val="auto"/>
        </w:rPr>
        <w:t xml:space="preserve"> des dimensions de l’aménagement en fonction des usages attendus (largeur, nature des séparateurs, rayons de courbure, pentes…) ;</w:t>
      </w:r>
    </w:p>
    <w:p w14:paraId="4BFBD18F"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respect</w:t>
      </w:r>
      <w:proofErr w:type="gramEnd"/>
      <w:r>
        <w:rPr>
          <w:rFonts w:ascii="Calibri" w:hAnsi="Calibri" w:cs="Calibri"/>
          <w:color w:val="auto"/>
        </w:rPr>
        <w:t xml:space="preserve"> des pentes de cheminement d’accès à l’ouvrage ;</w:t>
      </w:r>
    </w:p>
    <w:p w14:paraId="16A33564"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choix</w:t>
      </w:r>
      <w:proofErr w:type="gramEnd"/>
      <w:r>
        <w:rPr>
          <w:rFonts w:ascii="Calibri" w:hAnsi="Calibri" w:cs="Calibri"/>
          <w:color w:val="auto"/>
        </w:rPr>
        <w:t xml:space="preserve"> d’un revêtement adapté ;</w:t>
      </w:r>
    </w:p>
    <w:p w14:paraId="0E43FA06"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respect</w:t>
      </w:r>
      <w:proofErr w:type="gramEnd"/>
      <w:r>
        <w:rPr>
          <w:rFonts w:ascii="Calibri" w:hAnsi="Calibri" w:cs="Calibri"/>
          <w:color w:val="auto"/>
        </w:rPr>
        <w:t xml:space="preserve"> des dimensions minimales des trottoirs ;</w:t>
      </w:r>
    </w:p>
    <w:p w14:paraId="60DB7099" w14:textId="77777777"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traitement</w:t>
      </w:r>
      <w:proofErr w:type="gramEnd"/>
      <w:r>
        <w:rPr>
          <w:rFonts w:ascii="Calibri" w:hAnsi="Calibri" w:cs="Calibri"/>
          <w:color w:val="auto"/>
        </w:rPr>
        <w:t xml:space="preserve"> en sécurité des intersections.</w:t>
      </w:r>
    </w:p>
    <w:p w14:paraId="5D7B952B" w14:textId="77777777" w:rsidR="00005D55" w:rsidRDefault="00BE446D" w:rsidP="00E721F8">
      <w:pPr>
        <w:pStyle w:val="western"/>
        <w:numPr>
          <w:ilvl w:val="0"/>
          <w:numId w:val="8"/>
        </w:numPr>
        <w:tabs>
          <w:tab w:val="left" w:pos="-709"/>
        </w:tabs>
        <w:spacing w:before="240"/>
        <w:rPr>
          <w:rFonts w:ascii="Calibri" w:hAnsi="Calibri" w:cs="Calibri"/>
          <w:b/>
          <w:color w:val="auto"/>
        </w:rPr>
      </w:pPr>
      <w:r>
        <w:rPr>
          <w:rFonts w:ascii="Calibri" w:hAnsi="Calibri" w:cs="Calibri"/>
          <w:b/>
          <w:color w:val="auto"/>
        </w:rPr>
        <w:t>Autres critères :</w:t>
      </w:r>
    </w:p>
    <w:p w14:paraId="69166890" w14:textId="053F056C" w:rsidR="00005D55" w:rsidRDefault="00BE446D" w:rsidP="00E721F8">
      <w:pPr>
        <w:pStyle w:val="western"/>
        <w:numPr>
          <w:ilvl w:val="0"/>
          <w:numId w:val="11"/>
        </w:numPr>
        <w:tabs>
          <w:tab w:val="left" w:pos="-709"/>
        </w:tabs>
        <w:spacing w:before="120" w:after="0"/>
        <w:ind w:left="1066" w:hanging="357"/>
      </w:pPr>
      <w:proofErr w:type="gramStart"/>
      <w:r>
        <w:rPr>
          <w:rFonts w:ascii="Calibri" w:hAnsi="Calibri" w:cs="Calibri"/>
          <w:color w:val="auto"/>
        </w:rPr>
        <w:t>la</w:t>
      </w:r>
      <w:proofErr w:type="gramEnd"/>
      <w:r>
        <w:rPr>
          <w:rFonts w:ascii="Calibri" w:hAnsi="Calibri" w:cs="Calibri"/>
          <w:color w:val="auto"/>
        </w:rPr>
        <w:t xml:space="preserve"> justification du montant de la subvention demandée, notamment de l’assiette éligible, le taux de subvention demandé et le respect du taux (tel que spécifié en partie D.2) ;</w:t>
      </w:r>
    </w:p>
    <w:p w14:paraId="1BB64344" w14:textId="5DBFB62E" w:rsidR="00005D55" w:rsidRDefault="00BE446D" w:rsidP="00E721F8">
      <w:pPr>
        <w:pStyle w:val="western"/>
        <w:numPr>
          <w:ilvl w:val="0"/>
          <w:numId w:val="11"/>
        </w:numPr>
        <w:tabs>
          <w:tab w:val="left" w:pos="-709"/>
        </w:tabs>
        <w:spacing w:before="120" w:after="0"/>
        <w:ind w:left="1066" w:hanging="357"/>
      </w:pPr>
      <w:r>
        <w:rPr>
          <w:rFonts w:ascii="Calibri" w:hAnsi="Calibri" w:cs="Calibri"/>
          <w:color w:val="auto"/>
        </w:rPr>
        <w:t>Le cas échéant, les justifications au non-respect strict de la définition d’un projet éligible (partie C.1).</w:t>
      </w:r>
    </w:p>
    <w:p w14:paraId="3A3F5135" w14:textId="77777777" w:rsidR="00005D55" w:rsidRDefault="00005D55">
      <w:pPr>
        <w:pStyle w:val="western"/>
        <w:spacing w:before="120" w:after="0"/>
        <w:ind w:left="360"/>
        <w:rPr>
          <w:rFonts w:ascii="Calibri" w:hAnsi="Calibri" w:cs="Calibri"/>
          <w:color w:val="auto"/>
        </w:rPr>
      </w:pPr>
    </w:p>
    <w:p w14:paraId="2A1B3F5D" w14:textId="77777777" w:rsidR="00005D55" w:rsidRDefault="00BE446D">
      <w:pPr>
        <w:pStyle w:val="western"/>
        <w:spacing w:before="120" w:after="0"/>
        <w:ind w:left="360"/>
        <w:rPr>
          <w:b/>
        </w:rPr>
      </w:pPr>
      <w:r>
        <w:rPr>
          <w:rFonts w:ascii="Calibri" w:hAnsi="Calibri" w:cs="Calibri"/>
          <w:b/>
          <w:color w:val="auto"/>
        </w:rPr>
        <w:t>Une priorité sera donnée aux projets visant </w:t>
      </w:r>
      <w:r>
        <w:rPr>
          <w:b/>
        </w:rPr>
        <w:t>:</w:t>
      </w:r>
    </w:p>
    <w:p w14:paraId="725A95D8" w14:textId="77777777" w:rsidR="00005D55" w:rsidRDefault="00BE446D" w:rsidP="00E721F8">
      <w:pPr>
        <w:pStyle w:val="western"/>
        <w:numPr>
          <w:ilvl w:val="0"/>
          <w:numId w:val="11"/>
        </w:numPr>
        <w:tabs>
          <w:tab w:val="left" w:pos="-709"/>
        </w:tabs>
        <w:spacing w:before="120" w:after="0"/>
        <w:ind w:left="1066" w:hanging="357"/>
        <w:rPr>
          <w:rFonts w:ascii="Calibri" w:hAnsi="Calibri" w:cs="Calibri"/>
          <w:color w:val="auto"/>
        </w:rPr>
      </w:pPr>
      <w:proofErr w:type="gramStart"/>
      <w:r>
        <w:rPr>
          <w:rFonts w:ascii="Calibri" w:hAnsi="Calibri" w:cs="Calibri"/>
          <w:color w:val="auto"/>
        </w:rPr>
        <w:t>au</w:t>
      </w:r>
      <w:proofErr w:type="gramEnd"/>
      <w:r>
        <w:rPr>
          <w:rFonts w:ascii="Calibri" w:hAnsi="Calibri" w:cs="Calibri"/>
          <w:color w:val="auto"/>
        </w:rPr>
        <w:t xml:space="preserve"> désenclavement de populations fragiles, notamment celles situées dans des quartiers prioritaires au sens de la politique de la ville ;  </w:t>
      </w:r>
    </w:p>
    <w:p w14:paraId="18336F1D" w14:textId="77777777" w:rsidR="00005D55" w:rsidRDefault="00BE446D" w:rsidP="00E721F8">
      <w:pPr>
        <w:pStyle w:val="western"/>
        <w:numPr>
          <w:ilvl w:val="0"/>
          <w:numId w:val="11"/>
        </w:numPr>
        <w:tabs>
          <w:tab w:val="left" w:pos="-709"/>
        </w:tabs>
        <w:spacing w:before="120" w:after="0"/>
        <w:ind w:left="1066" w:hanging="357"/>
        <w:rPr>
          <w:rFonts w:ascii="Calibri" w:hAnsi="Calibri" w:cs="Calibri"/>
          <w:color w:val="auto"/>
        </w:rPr>
      </w:pPr>
      <w:proofErr w:type="gramStart"/>
      <w:r>
        <w:rPr>
          <w:rFonts w:ascii="Calibri" w:hAnsi="Calibri" w:cs="Calibri"/>
          <w:color w:val="auto"/>
        </w:rPr>
        <w:t>des</w:t>
      </w:r>
      <w:proofErr w:type="gramEnd"/>
      <w:r>
        <w:rPr>
          <w:rFonts w:ascii="Calibri" w:hAnsi="Calibri" w:cs="Calibri"/>
          <w:color w:val="auto"/>
        </w:rPr>
        <w:t xml:space="preserve"> territoires peu denses, ou peu dotés en aménagements cyclables ou n’ayant pas bénéficié du fonds mobilités actives par le passé ; </w:t>
      </w:r>
    </w:p>
    <w:p w14:paraId="083A77E4" w14:textId="77777777" w:rsidR="00005D55" w:rsidRDefault="00BE446D" w:rsidP="00E721F8">
      <w:pPr>
        <w:pStyle w:val="western"/>
        <w:numPr>
          <w:ilvl w:val="0"/>
          <w:numId w:val="11"/>
        </w:numPr>
        <w:tabs>
          <w:tab w:val="left" w:pos="-709"/>
        </w:tabs>
        <w:spacing w:before="120" w:after="0"/>
        <w:ind w:left="1066" w:hanging="357"/>
        <w:rPr>
          <w:rFonts w:ascii="Calibri" w:hAnsi="Calibri" w:cs="Calibri"/>
          <w:color w:val="auto"/>
        </w:rPr>
      </w:pPr>
      <w:proofErr w:type="gramStart"/>
      <w:r>
        <w:rPr>
          <w:rFonts w:ascii="Calibri" w:hAnsi="Calibri" w:cs="Calibri"/>
          <w:color w:val="auto"/>
        </w:rPr>
        <w:t>la</w:t>
      </w:r>
      <w:proofErr w:type="gramEnd"/>
      <w:r>
        <w:rPr>
          <w:rFonts w:ascii="Calibri" w:hAnsi="Calibri" w:cs="Calibri"/>
          <w:color w:val="auto"/>
        </w:rPr>
        <w:t xml:space="preserve"> desserte de gares, pôles d’échanges ou établissements scolaires ;</w:t>
      </w:r>
    </w:p>
    <w:p w14:paraId="46161CD3" w14:textId="77777777" w:rsidR="00005D55" w:rsidRDefault="00BE446D" w:rsidP="00E721F8">
      <w:pPr>
        <w:pStyle w:val="western"/>
        <w:numPr>
          <w:ilvl w:val="0"/>
          <w:numId w:val="11"/>
        </w:numPr>
        <w:tabs>
          <w:tab w:val="left" w:pos="-709"/>
        </w:tabs>
        <w:spacing w:before="120" w:after="0"/>
        <w:ind w:left="1066" w:hanging="357"/>
        <w:rPr>
          <w:rFonts w:ascii="Calibri" w:hAnsi="Calibri" w:cs="Calibri"/>
          <w:color w:val="auto"/>
        </w:rPr>
      </w:pPr>
      <w:proofErr w:type="gramStart"/>
      <w:r>
        <w:rPr>
          <w:rFonts w:ascii="Calibri" w:hAnsi="Calibri" w:cs="Calibri"/>
          <w:color w:val="auto"/>
        </w:rPr>
        <w:t>des</w:t>
      </w:r>
      <w:proofErr w:type="gramEnd"/>
      <w:r>
        <w:rPr>
          <w:rFonts w:ascii="Calibri" w:hAnsi="Calibri" w:cs="Calibri"/>
          <w:color w:val="auto"/>
        </w:rPr>
        <w:t xml:space="preserve"> collectivités impliquées dans le programme « Action cœur de ville » ou « petites villes de demain »</w:t>
      </w:r>
    </w:p>
    <w:p w14:paraId="595CB0EE" w14:textId="77777777" w:rsidR="00005D55" w:rsidRDefault="00005D55">
      <w:pPr>
        <w:pStyle w:val="western"/>
        <w:spacing w:before="120" w:after="0"/>
      </w:pPr>
    </w:p>
    <w:p w14:paraId="53FC71FA" w14:textId="77777777" w:rsidR="00005D55" w:rsidRDefault="00BE446D">
      <w:pPr>
        <w:pStyle w:val="Titre2"/>
      </w:pPr>
      <w:bookmarkStart w:id="50" w:name="_Toc121221275"/>
      <w:bookmarkStart w:id="51" w:name="_Toc71566269"/>
      <w:bookmarkStart w:id="52" w:name="_Toc151019616"/>
      <w:r>
        <w:lastRenderedPageBreak/>
        <w:t>Choix des lauréats</w:t>
      </w:r>
      <w:bookmarkEnd w:id="50"/>
      <w:bookmarkEnd w:id="51"/>
      <w:bookmarkEnd w:id="52"/>
      <w:r>
        <w:t xml:space="preserve"> </w:t>
      </w:r>
    </w:p>
    <w:p w14:paraId="16AD63A8" w14:textId="77777777" w:rsidR="00005D55" w:rsidRDefault="00BE446D">
      <w:pPr>
        <w:pStyle w:val="western"/>
        <w:spacing w:before="240" w:after="0"/>
      </w:pPr>
      <w:r>
        <w:rPr>
          <w:rFonts w:ascii="Calibri" w:hAnsi="Calibri" w:cs="Calibri"/>
          <w:color w:val="auto"/>
        </w:rPr>
        <w:t xml:space="preserve">La qualité des dossiers sera examinée par un </w:t>
      </w:r>
      <w:r>
        <w:rPr>
          <w:rFonts w:ascii="Calibri" w:hAnsi="Calibri" w:cs="Calibri"/>
          <w:b/>
          <w:color w:val="auto"/>
        </w:rPr>
        <w:t>comité de sélection local</w:t>
      </w:r>
      <w:r>
        <w:rPr>
          <w:rFonts w:ascii="Calibri" w:hAnsi="Calibri" w:cs="Calibri"/>
          <w:color w:val="auto"/>
        </w:rPr>
        <w:t>. Ce comité de sélection sera soumis à des exigences de confidentialité. Un comité d’évaluation national sera également institué pour examiner les dossiers relatifs aux projets les plus coûteux.</w:t>
      </w:r>
    </w:p>
    <w:p w14:paraId="14D4E3B9" w14:textId="77777777" w:rsidR="00005D55" w:rsidRDefault="00BE446D">
      <w:pPr>
        <w:pStyle w:val="western"/>
        <w:spacing w:before="240" w:after="0"/>
      </w:pPr>
      <w:r>
        <w:rPr>
          <w:rFonts w:ascii="Calibri" w:hAnsi="Calibri" w:cs="Calibri"/>
          <w:color w:val="auto"/>
        </w:rPr>
        <w:t xml:space="preserve">La sélection des lauréats et du niveau de financement retenu, fondée sur la proposition du comité de sélection, relèvent du préfet de Région. La notification de subvention ou la décision de rejet, sera communiquée par courrier aux porteurs de projet. </w:t>
      </w:r>
    </w:p>
    <w:p w14:paraId="4630F2D1" w14:textId="77777777" w:rsidR="00005D55" w:rsidRDefault="00BE446D">
      <w:pPr>
        <w:pStyle w:val="Titre1"/>
        <w:spacing w:before="480" w:after="0"/>
        <w:ind w:left="1077" w:hanging="357"/>
      </w:pPr>
      <w:bookmarkStart w:id="53" w:name="_Toc121221276"/>
      <w:bookmarkStart w:id="54" w:name="_Toc71566270"/>
      <w:bookmarkStart w:id="55" w:name="_Toc151019617"/>
      <w:r>
        <w:rPr>
          <w:rFonts w:ascii="Calibri" w:hAnsi="Calibri" w:cs="Calibri"/>
          <w:caps w:val="0"/>
        </w:rPr>
        <w:t>MODALITES DE VERSEMENT DES SUBVENTIONS AUX LAUREATS</w:t>
      </w:r>
      <w:bookmarkEnd w:id="53"/>
      <w:bookmarkEnd w:id="54"/>
      <w:bookmarkEnd w:id="55"/>
    </w:p>
    <w:p w14:paraId="5EE0281F" w14:textId="77777777" w:rsidR="00005D55" w:rsidRDefault="00BE446D">
      <w:pPr>
        <w:pStyle w:val="western"/>
        <w:spacing w:before="240" w:after="0"/>
        <w:rPr>
          <w:rFonts w:ascii="Calibri" w:hAnsi="Calibri" w:cs="Calibri"/>
          <w:color w:val="auto"/>
        </w:rPr>
      </w:pPr>
      <w:r>
        <w:rPr>
          <w:rFonts w:ascii="Calibri" w:hAnsi="Calibri" w:cs="Calibri"/>
          <w:color w:val="auto"/>
        </w:rPr>
        <w:t>Si les études peuvent avoir débuté avant le dépôt du dossier de soumission, l’annonce des lauréats doit précéder la notification des premiers travaux du projet. Ainsi, l’éventuelle subvention attribuée ne sera pas maintenue si la notification des travaux a lieu avant l’annonce des lauréats.</w:t>
      </w:r>
    </w:p>
    <w:p w14:paraId="58701230" w14:textId="3A5D9391" w:rsidR="00005D55" w:rsidRDefault="00BE446D">
      <w:pPr>
        <w:pStyle w:val="western"/>
        <w:spacing w:before="240" w:after="0"/>
      </w:pPr>
      <w:r>
        <w:rPr>
          <w:rFonts w:ascii="Calibri" w:hAnsi="Calibri" w:cs="Calibri"/>
          <w:color w:val="auto"/>
        </w:rPr>
        <w:t>L’annonce des lauréats devrait avoir lieu en juillet 2024.</w:t>
      </w:r>
    </w:p>
    <w:p w14:paraId="0A238A1C" w14:textId="07A00377" w:rsidR="00005D55" w:rsidRDefault="00BE446D">
      <w:pPr>
        <w:pStyle w:val="western"/>
        <w:spacing w:before="240" w:after="0"/>
        <w:rPr>
          <w:rFonts w:ascii="Calibri" w:hAnsi="Calibri" w:cs="Calibri"/>
          <w:color w:val="auto"/>
        </w:rPr>
      </w:pPr>
      <w:r>
        <w:rPr>
          <w:rFonts w:ascii="Calibri" w:hAnsi="Calibri" w:cs="Calibri"/>
          <w:color w:val="auto"/>
        </w:rPr>
        <w:t>La contractualisation avec la DREAL</w:t>
      </w:r>
      <w:r w:rsidRPr="00E721F8">
        <w:rPr>
          <w:rStyle w:val="Ancredenotedebasdepage"/>
        </w:rPr>
        <w:footnoteReference w:id="8"/>
      </w:r>
      <w:r>
        <w:rPr>
          <w:rFonts w:ascii="Calibri" w:hAnsi="Calibri" w:cs="Calibri"/>
          <w:color w:val="auto"/>
        </w:rPr>
        <w:t xml:space="preserve"> déterminera les modalités de versement de la subvention.</w:t>
      </w:r>
    </w:p>
    <w:p w14:paraId="10760D1F" w14:textId="77777777" w:rsidR="00005D55" w:rsidRDefault="00BE446D">
      <w:pPr>
        <w:pStyle w:val="Titre1"/>
        <w:spacing w:before="480" w:after="0"/>
        <w:ind w:left="1077" w:hanging="357"/>
      </w:pPr>
      <w:bookmarkStart w:id="56" w:name="_Toc121221277"/>
      <w:bookmarkStart w:id="57" w:name="_Toc71566271"/>
      <w:bookmarkStart w:id="58" w:name="_Toc151019618"/>
      <w:r>
        <w:rPr>
          <w:rFonts w:ascii="Calibri" w:hAnsi="Calibri" w:cs="Calibri"/>
          <w:caps w:val="0"/>
        </w:rPr>
        <w:t>CONFIDENTIALITE DES RESULTATS ET SUIVI DES PROJETS RETENUS</w:t>
      </w:r>
      <w:bookmarkEnd w:id="56"/>
      <w:bookmarkEnd w:id="57"/>
      <w:bookmarkEnd w:id="58"/>
    </w:p>
    <w:p w14:paraId="1BE2138A" w14:textId="2D7E039E" w:rsidR="00005D55" w:rsidRDefault="00BE446D">
      <w:pPr>
        <w:pStyle w:val="western"/>
        <w:spacing w:before="240" w:after="0"/>
      </w:pPr>
      <w:r>
        <w:rPr>
          <w:rFonts w:ascii="Calibri" w:hAnsi="Calibri" w:cs="Calibri"/>
          <w:color w:val="auto"/>
        </w:rPr>
        <w:t>Les documents et toute information appartenant au porteur de projet et communiqués dans les dossiers sur quelque support que ce soit, ainsi que tout élément obtenu en application de la convention de financement, ne sont pas considérés comme confidentiels.</w:t>
      </w:r>
    </w:p>
    <w:p w14:paraId="4B144E3A" w14:textId="565D90E6" w:rsidR="00005D55" w:rsidRDefault="00BE446D">
      <w:pPr>
        <w:pStyle w:val="western"/>
        <w:spacing w:before="240" w:after="0"/>
      </w:pPr>
      <w:r>
        <w:rPr>
          <w:rFonts w:ascii="Calibri" w:hAnsi="Calibri" w:cs="Calibri"/>
          <w:color w:val="auto"/>
        </w:rPr>
        <w:t xml:space="preserve">Toutefois, par exception et à la demande du porteur, la décision peut prévoir l’institution d’un régime de confidentialité permettant la limitation de la diffusion des informations communiquées par le porteur de projet aux seuls personnels des entités constituant le comité de sélection des projets. Le porteur de projet s’engage alors à publier et à autoriser l’État à publier une synthèse des résultats non protégés définis dans la convention de financement. </w:t>
      </w:r>
    </w:p>
    <w:p w14:paraId="6509F0A4" w14:textId="77777777" w:rsidR="00005D55" w:rsidRDefault="00BE446D">
      <w:pPr>
        <w:pStyle w:val="western"/>
        <w:spacing w:before="240" w:after="0"/>
      </w:pPr>
      <w:r>
        <w:rPr>
          <w:rFonts w:ascii="Calibri" w:hAnsi="Calibri" w:cs="Calibri"/>
          <w:color w:val="auto"/>
        </w:rPr>
        <w:t>Le résumé du projet et sa localisation, proposés lors du dépôt de dossier, pourront être utilisés à des fins de communication de l’appel à projets.</w:t>
      </w:r>
    </w:p>
    <w:p w14:paraId="4961C128" w14:textId="77777777" w:rsidR="00005D55" w:rsidRDefault="00BE446D">
      <w:pPr>
        <w:pStyle w:val="western"/>
        <w:spacing w:before="240" w:after="0"/>
      </w:pPr>
      <w:r>
        <w:rPr>
          <w:rFonts w:ascii="Calibri" w:hAnsi="Calibri" w:cs="Calibri"/>
          <w:color w:val="auto"/>
        </w:rPr>
        <w:t>Par ailleurs, l’attribution d’une subvention dans le cadre de l’appel à projets vaut acceptation par le porteur de projet à :</w:t>
      </w:r>
    </w:p>
    <w:p w14:paraId="463C05DB" w14:textId="77777777" w:rsidR="00005D55" w:rsidRDefault="00BE446D" w:rsidP="00E721F8">
      <w:pPr>
        <w:pStyle w:val="western"/>
        <w:numPr>
          <w:ilvl w:val="0"/>
          <w:numId w:val="4"/>
        </w:numPr>
        <w:spacing w:before="240" w:after="0"/>
      </w:pPr>
      <w:proofErr w:type="gramStart"/>
      <w:r>
        <w:rPr>
          <w:rFonts w:ascii="Calibri" w:hAnsi="Calibri" w:cs="Calibri"/>
          <w:color w:val="auto"/>
        </w:rPr>
        <w:t>participer</w:t>
      </w:r>
      <w:proofErr w:type="gramEnd"/>
      <w:r>
        <w:rPr>
          <w:rFonts w:ascii="Calibri" w:hAnsi="Calibri" w:cs="Calibri"/>
          <w:color w:val="auto"/>
        </w:rPr>
        <w:t xml:space="preserve"> aux réunions d’animation et de valorisation de l’appel à projets que pourraient organiser l’État ou les autres membres du comité de sélection des projets ;</w:t>
      </w:r>
    </w:p>
    <w:p w14:paraId="07B972BC" w14:textId="77777777" w:rsidR="00005D55" w:rsidRDefault="00BE446D" w:rsidP="00E721F8">
      <w:pPr>
        <w:pStyle w:val="western"/>
        <w:numPr>
          <w:ilvl w:val="0"/>
          <w:numId w:val="4"/>
        </w:numPr>
        <w:spacing w:before="240" w:after="0"/>
      </w:pPr>
      <w:proofErr w:type="gramStart"/>
      <w:r>
        <w:rPr>
          <w:rFonts w:ascii="Calibri" w:hAnsi="Calibri" w:cs="Calibri"/>
          <w:color w:val="auto"/>
        </w:rPr>
        <w:lastRenderedPageBreak/>
        <w:t>convier</w:t>
      </w:r>
      <w:proofErr w:type="gramEnd"/>
      <w:r>
        <w:rPr>
          <w:rFonts w:ascii="Calibri" w:hAnsi="Calibri" w:cs="Calibri"/>
          <w:color w:val="auto"/>
        </w:rPr>
        <w:t xml:space="preserve"> les services de l’État et ses établissements publics territorialement compétents à la structure de pilotage du projet mise en place par le bénéficiaire ;</w:t>
      </w:r>
    </w:p>
    <w:p w14:paraId="70735768" w14:textId="77777777" w:rsidR="00005D55" w:rsidRDefault="00BE446D" w:rsidP="00E721F8">
      <w:pPr>
        <w:pStyle w:val="western"/>
        <w:numPr>
          <w:ilvl w:val="0"/>
          <w:numId w:val="4"/>
        </w:numPr>
        <w:spacing w:before="240" w:after="0"/>
      </w:pPr>
      <w:proofErr w:type="gramStart"/>
      <w:r>
        <w:rPr>
          <w:rFonts w:ascii="Calibri" w:hAnsi="Calibri" w:cs="Calibri"/>
          <w:color w:val="auto"/>
        </w:rPr>
        <w:t>le</w:t>
      </w:r>
      <w:proofErr w:type="gramEnd"/>
      <w:r>
        <w:rPr>
          <w:rFonts w:ascii="Calibri" w:hAnsi="Calibri" w:cs="Calibri"/>
          <w:color w:val="auto"/>
        </w:rPr>
        <w:t xml:space="preserve"> cas échéant utiliser un outil de suivi du projet fourni par le comité de sélection ;</w:t>
      </w:r>
    </w:p>
    <w:p w14:paraId="13ED2B11" w14:textId="77777777" w:rsidR="00005D55" w:rsidRDefault="00BE446D" w:rsidP="00E721F8">
      <w:pPr>
        <w:pStyle w:val="western"/>
        <w:numPr>
          <w:ilvl w:val="0"/>
          <w:numId w:val="4"/>
        </w:numPr>
        <w:spacing w:before="240" w:after="0"/>
      </w:pPr>
      <w:proofErr w:type="gramStart"/>
      <w:r>
        <w:rPr>
          <w:rFonts w:ascii="Calibri" w:hAnsi="Calibri" w:cs="Calibri"/>
          <w:color w:val="auto"/>
        </w:rPr>
        <w:t>fournir</w:t>
      </w:r>
      <w:proofErr w:type="gramEnd"/>
      <w:r>
        <w:rPr>
          <w:rFonts w:ascii="Calibri" w:hAnsi="Calibri" w:cs="Calibri"/>
          <w:color w:val="auto"/>
        </w:rPr>
        <w:t xml:space="preserve"> différents livrables au fur et à mesure de l’avancement du projet à la demande de l’État, ainsi qu’un rapport d’exécution suite à la fin des travaux.</w:t>
      </w:r>
    </w:p>
    <w:p w14:paraId="0C99EF70" w14:textId="77777777" w:rsidR="00005D55" w:rsidRDefault="00BE446D">
      <w:pPr>
        <w:pStyle w:val="western"/>
        <w:spacing w:before="240" w:after="0"/>
      </w:pPr>
      <w:r>
        <w:rPr>
          <w:rFonts w:ascii="Calibri" w:hAnsi="Calibri" w:cs="Calibri"/>
          <w:color w:val="auto"/>
        </w:rPr>
        <w:t xml:space="preserve">Le porteur du projet s’engage, dans sa communication, à faire référence à l’aide de l’État. </w:t>
      </w:r>
      <w:r>
        <w:br w:type="page"/>
      </w:r>
    </w:p>
    <w:p w14:paraId="08836160" w14:textId="77777777" w:rsidR="00005D55" w:rsidRDefault="00BE446D" w:rsidP="00E721F8">
      <w:pPr>
        <w:pStyle w:val="Titre1"/>
        <w:numPr>
          <w:ilvl w:val="0"/>
          <w:numId w:val="0"/>
        </w:numPr>
        <w:ind w:left="720"/>
      </w:pPr>
      <w:bookmarkStart w:id="59" w:name="_Toc121221278"/>
      <w:bookmarkStart w:id="60" w:name="_Toc71566272"/>
      <w:bookmarkStart w:id="61" w:name="_Toc151019619"/>
      <w:r>
        <w:rPr>
          <w:rFonts w:ascii="Calibri" w:hAnsi="Calibri" w:cs="Calibri"/>
          <w:caps w:val="0"/>
        </w:rPr>
        <w:lastRenderedPageBreak/>
        <w:t>ANNEXES</w:t>
      </w:r>
      <w:bookmarkEnd w:id="59"/>
      <w:bookmarkEnd w:id="60"/>
      <w:bookmarkEnd w:id="61"/>
    </w:p>
    <w:p w14:paraId="333B5081" w14:textId="77777777" w:rsidR="00005D55" w:rsidRDefault="00BE446D">
      <w:pPr>
        <w:pStyle w:val="western"/>
        <w:spacing w:before="240" w:after="0"/>
      </w:pPr>
      <w:r>
        <w:rPr>
          <w:rFonts w:ascii="Calibri" w:hAnsi="Calibri" w:cs="Calibri"/>
          <w:color w:val="auto"/>
        </w:rPr>
        <w:t>Annexe 1 : Éléments à remplir dans le formulaire en ligne</w:t>
      </w:r>
    </w:p>
    <w:p w14:paraId="058C3A49" w14:textId="77777777" w:rsidR="00005D55" w:rsidRDefault="00BE446D">
      <w:pPr>
        <w:pStyle w:val="western"/>
        <w:spacing w:before="240" w:after="0"/>
      </w:pPr>
      <w:r>
        <w:rPr>
          <w:rFonts w:ascii="Calibri" w:hAnsi="Calibri" w:cs="Calibri"/>
          <w:color w:val="auto"/>
        </w:rPr>
        <w:t>Annexe 2 : Composition du dossier de présentation du projet</w:t>
      </w:r>
    </w:p>
    <w:p w14:paraId="6FA4B8B1" w14:textId="77777777" w:rsidR="00005D55" w:rsidRDefault="00BE446D">
      <w:pPr>
        <w:pStyle w:val="western"/>
        <w:spacing w:before="240" w:after="0"/>
      </w:pPr>
      <w:r>
        <w:rPr>
          <w:rFonts w:ascii="Calibri" w:hAnsi="Calibri" w:cs="Calibri"/>
          <w:color w:val="auto"/>
        </w:rPr>
        <w:t>Annexe 3 : Recommandations techniques du CEREMA</w:t>
      </w:r>
    </w:p>
    <w:p w14:paraId="1D4E44A8" w14:textId="77777777" w:rsidR="00005D55" w:rsidRDefault="00BE446D">
      <w:pPr>
        <w:pStyle w:val="western"/>
        <w:spacing w:before="240" w:after="0"/>
      </w:pPr>
      <w:r>
        <w:rPr>
          <w:rFonts w:ascii="Calibri" w:hAnsi="Calibri" w:cs="Calibri"/>
          <w:color w:val="auto"/>
        </w:rPr>
        <w:t>Annexe 4 : Modèle de lettre d’engagement</w:t>
      </w:r>
    </w:p>
    <w:p w14:paraId="5EAC994D" w14:textId="77777777" w:rsidR="00005D55" w:rsidRDefault="00BE446D">
      <w:pPr>
        <w:pStyle w:val="western"/>
        <w:spacing w:before="240" w:after="0"/>
      </w:pPr>
      <w:r>
        <w:rPr>
          <w:rFonts w:ascii="Calibri" w:hAnsi="Calibri" w:cs="Calibri"/>
          <w:color w:val="auto"/>
        </w:rPr>
        <w:t>Annexe 5 : Fiche descriptive des coûts à remplir</w:t>
      </w:r>
    </w:p>
    <w:p w14:paraId="1E8208A0" w14:textId="62AEB44D" w:rsidR="00005D55" w:rsidRDefault="00BE446D">
      <w:pPr>
        <w:pStyle w:val="western"/>
        <w:spacing w:before="240" w:after="0"/>
      </w:pPr>
      <w:r>
        <w:rPr>
          <w:rFonts w:ascii="Calibri" w:hAnsi="Calibri" w:cs="Calibri"/>
          <w:color w:val="auto"/>
        </w:rPr>
        <w:t>Annexe 6 : Référence par commune pour les tailles d’unités urbaines (UU au 01/01/2023)</w:t>
      </w:r>
    </w:p>
    <w:p w14:paraId="7D9199F1" w14:textId="19AA700A" w:rsidR="00005D55" w:rsidRDefault="00BE446D">
      <w:pPr>
        <w:pStyle w:val="western"/>
        <w:spacing w:before="240" w:after="0"/>
        <w:rPr>
          <w:rFonts w:ascii="Calibri" w:hAnsi="Calibri" w:cs="Calibri"/>
          <w:color w:val="auto"/>
        </w:rPr>
      </w:pPr>
      <w:r>
        <w:rPr>
          <w:rFonts w:ascii="Calibri" w:hAnsi="Calibri" w:cs="Calibri"/>
          <w:color w:val="auto"/>
        </w:rPr>
        <w:t xml:space="preserve">Annexe 7 : </w:t>
      </w:r>
      <w:r w:rsidR="009C750E">
        <w:rPr>
          <w:rFonts w:ascii="Calibri" w:hAnsi="Calibri" w:cs="Calibri"/>
          <w:color w:val="auto"/>
        </w:rPr>
        <w:t>T</w:t>
      </w:r>
      <w:r>
        <w:rPr>
          <w:rFonts w:ascii="Calibri" w:hAnsi="Calibri" w:cs="Calibri"/>
          <w:color w:val="auto"/>
        </w:rPr>
        <w:t>est d’éligibilité</w:t>
      </w:r>
    </w:p>
    <w:p w14:paraId="55CBBF1E" w14:textId="77777777" w:rsidR="00005D55" w:rsidRDefault="00BE446D">
      <w:pPr>
        <w:pStyle w:val="western"/>
        <w:spacing w:before="240" w:after="0"/>
        <w:rPr>
          <w:rFonts w:ascii="Calibri" w:hAnsi="Calibri" w:cs="Calibri"/>
          <w:color w:val="auto"/>
        </w:rPr>
      </w:pPr>
      <w:r>
        <w:rPr>
          <w:rFonts w:ascii="Calibri" w:hAnsi="Calibri" w:cs="Calibri"/>
          <w:color w:val="auto"/>
        </w:rPr>
        <w:t>Annexe 8 : Tableau des contacts au sein des services de l’État</w:t>
      </w:r>
    </w:p>
    <w:p w14:paraId="046FB273" w14:textId="2A9435D6" w:rsidR="00005D55" w:rsidRDefault="00005D55">
      <w:pPr>
        <w:pStyle w:val="western"/>
        <w:spacing w:before="240" w:after="0"/>
        <w:rPr>
          <w:rFonts w:ascii="Calibri" w:hAnsi="Calibri" w:cs="Calibri"/>
          <w:color w:val="auto"/>
        </w:rPr>
      </w:pPr>
    </w:p>
    <w:sectPr w:rsidR="00005D55" w:rsidSect="00E721F8">
      <w:headerReference w:type="default" r:id="rId9"/>
      <w:footerReference w:type="default" r:id="rId10"/>
      <w:headerReference w:type="first" r:id="rId11"/>
      <w:pgSz w:w="11906" w:h="16838"/>
      <w:pgMar w:top="1134" w:right="1417" w:bottom="1276" w:left="1417" w:header="708"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0E73" w14:textId="77777777" w:rsidR="002877C6" w:rsidRDefault="002877C6">
      <w:pPr>
        <w:spacing w:after="0" w:line="240" w:lineRule="auto"/>
      </w:pPr>
      <w:r>
        <w:separator/>
      </w:r>
    </w:p>
  </w:endnote>
  <w:endnote w:type="continuationSeparator" w:id="0">
    <w:p w14:paraId="5FB48BF7" w14:textId="77777777" w:rsidR="002877C6" w:rsidRDefault="002877C6">
      <w:pPr>
        <w:spacing w:after="0" w:line="240" w:lineRule="auto"/>
      </w:pPr>
      <w:r>
        <w:continuationSeparator/>
      </w:r>
    </w:p>
  </w:endnote>
  <w:endnote w:type="continuationNotice" w:id="1">
    <w:p w14:paraId="1798F8DD" w14:textId="77777777" w:rsidR="002877C6" w:rsidRDefault="00287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ewsGoth BT">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046033149"/>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33DCEF2D" w14:textId="74E17DB3" w:rsidR="003A49DA" w:rsidRPr="009C750E" w:rsidRDefault="00EE2ABF">
            <w:pPr>
              <w:pStyle w:val="Pieddepage"/>
              <w:jc w:val="right"/>
              <w:rPr>
                <w:rFonts w:asciiTheme="minorHAnsi" w:hAnsiTheme="minorHAnsi" w:cstheme="minorHAnsi"/>
                <w:sz w:val="22"/>
                <w:szCs w:val="22"/>
              </w:rPr>
            </w:pPr>
            <w:r w:rsidRPr="00EE2ABF">
              <w:rPr>
                <w:rFonts w:asciiTheme="minorHAnsi" w:hAnsiTheme="minorHAnsi"/>
                <w:sz w:val="20"/>
                <w:szCs w:val="20"/>
              </w:rPr>
              <w:tab/>
            </w:r>
            <w:sdt>
              <w:sdtPr>
                <w:rPr>
                  <w:rFonts w:asciiTheme="minorHAnsi" w:hAnsiTheme="minorHAnsi" w:cstheme="minorHAnsi"/>
                  <w:sz w:val="22"/>
                  <w:szCs w:val="22"/>
                </w:rPr>
                <w:id w:val="202528277"/>
                <w:docPartObj>
                  <w:docPartGallery w:val="Page Numbers (Top of Page)"/>
                  <w:docPartUnique/>
                </w:docPartObj>
              </w:sdtPr>
              <w:sdtEndPr/>
              <w:sdtContent>
                <w:r w:rsidR="003A49DA" w:rsidRPr="009C750E">
                  <w:rPr>
                    <w:rFonts w:asciiTheme="minorHAnsi" w:hAnsiTheme="minorHAnsi" w:cstheme="minorHAnsi"/>
                    <w:sz w:val="22"/>
                    <w:szCs w:val="22"/>
                  </w:rPr>
                  <w:fldChar w:fldCharType="begin"/>
                </w:r>
                <w:r w:rsidR="003A49DA" w:rsidRPr="009C750E">
                  <w:rPr>
                    <w:rFonts w:asciiTheme="minorHAnsi" w:hAnsiTheme="minorHAnsi" w:cstheme="minorHAnsi"/>
                    <w:sz w:val="22"/>
                    <w:szCs w:val="22"/>
                  </w:rPr>
                  <w:instrText>PAGE</w:instrText>
                </w:r>
                <w:r w:rsidR="003A49DA" w:rsidRPr="009C750E">
                  <w:rPr>
                    <w:rFonts w:asciiTheme="minorHAnsi" w:hAnsiTheme="minorHAnsi" w:cstheme="minorHAnsi"/>
                    <w:sz w:val="22"/>
                    <w:szCs w:val="22"/>
                  </w:rPr>
                  <w:fldChar w:fldCharType="separate"/>
                </w:r>
                <w:r w:rsidR="003A49DA" w:rsidRPr="00E721F8">
                  <w:rPr>
                    <w:rFonts w:asciiTheme="minorHAnsi" w:hAnsiTheme="minorHAnsi"/>
                    <w:sz w:val="22"/>
                  </w:rPr>
                  <w:t>2</w:t>
                </w:r>
                <w:r w:rsidR="003A49DA" w:rsidRPr="009C750E">
                  <w:rPr>
                    <w:rFonts w:asciiTheme="minorHAnsi" w:hAnsiTheme="minorHAnsi" w:cstheme="minorHAnsi"/>
                    <w:sz w:val="22"/>
                    <w:szCs w:val="22"/>
                  </w:rPr>
                  <w:fldChar w:fldCharType="end"/>
                </w:r>
                <w:r w:rsidR="003A49DA" w:rsidRPr="009C750E">
                  <w:rPr>
                    <w:rFonts w:asciiTheme="minorHAnsi" w:hAnsiTheme="minorHAnsi" w:cstheme="minorHAnsi"/>
                    <w:sz w:val="22"/>
                    <w:szCs w:val="22"/>
                  </w:rPr>
                  <w:t xml:space="preserve"> </w:t>
                </w:r>
                <w:r w:rsidR="003A49DA">
                  <w:rPr>
                    <w:rFonts w:asciiTheme="minorHAnsi" w:hAnsiTheme="minorHAnsi" w:cstheme="minorHAnsi"/>
                    <w:sz w:val="22"/>
                    <w:szCs w:val="22"/>
                  </w:rPr>
                  <w:t>/</w:t>
                </w:r>
                <w:r w:rsidR="003A49DA" w:rsidRPr="009C750E">
                  <w:rPr>
                    <w:rFonts w:asciiTheme="minorHAnsi" w:hAnsiTheme="minorHAnsi" w:cstheme="minorHAnsi"/>
                    <w:sz w:val="22"/>
                    <w:szCs w:val="22"/>
                  </w:rPr>
                  <w:t xml:space="preserve"> </w:t>
                </w:r>
                <w:r w:rsidR="003A49DA" w:rsidRPr="009C750E">
                  <w:rPr>
                    <w:rFonts w:asciiTheme="minorHAnsi" w:hAnsiTheme="minorHAnsi" w:cstheme="minorHAnsi"/>
                    <w:sz w:val="22"/>
                    <w:szCs w:val="22"/>
                  </w:rPr>
                  <w:fldChar w:fldCharType="begin"/>
                </w:r>
                <w:r w:rsidR="003A49DA" w:rsidRPr="009C750E">
                  <w:rPr>
                    <w:rFonts w:asciiTheme="minorHAnsi" w:hAnsiTheme="minorHAnsi" w:cstheme="minorHAnsi"/>
                    <w:sz w:val="22"/>
                    <w:szCs w:val="22"/>
                  </w:rPr>
                  <w:instrText>NUMPAGES</w:instrText>
                </w:r>
                <w:r w:rsidR="003A49DA" w:rsidRPr="009C750E">
                  <w:rPr>
                    <w:rFonts w:asciiTheme="minorHAnsi" w:hAnsiTheme="minorHAnsi" w:cstheme="minorHAnsi"/>
                    <w:sz w:val="22"/>
                    <w:szCs w:val="22"/>
                  </w:rPr>
                  <w:fldChar w:fldCharType="separate"/>
                </w:r>
                <w:r w:rsidR="003A49DA" w:rsidRPr="009C750E">
                  <w:rPr>
                    <w:rFonts w:asciiTheme="minorHAnsi" w:hAnsiTheme="minorHAnsi" w:cstheme="minorHAnsi"/>
                    <w:sz w:val="22"/>
                    <w:szCs w:val="22"/>
                  </w:rPr>
                  <w:t>2</w:t>
                </w:r>
                <w:r w:rsidR="003A49DA" w:rsidRPr="009C750E">
                  <w:rPr>
                    <w:rFonts w:asciiTheme="minorHAnsi" w:hAnsiTheme="minorHAnsi" w:cstheme="minorHAnsi"/>
                    <w:sz w:val="22"/>
                    <w:szCs w:val="22"/>
                  </w:rPr>
                  <w:fldChar w:fldCharType="end"/>
                </w:r>
              </w:sdtContent>
            </w:sdt>
          </w:p>
        </w:sdtContent>
      </w:sdt>
    </w:sdtContent>
  </w:sdt>
  <w:p w14:paraId="05A2408F" w14:textId="5AE23A21" w:rsidR="00005D55" w:rsidRPr="00E721F8" w:rsidRDefault="00005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0B79" w14:textId="77777777" w:rsidR="002877C6" w:rsidRPr="00E721F8" w:rsidRDefault="002877C6" w:rsidP="002877C6">
      <w:pPr>
        <w:rPr>
          <w:sz w:val="12"/>
        </w:rPr>
      </w:pPr>
      <w:r>
        <w:separator/>
      </w:r>
    </w:p>
  </w:footnote>
  <w:footnote w:type="continuationSeparator" w:id="0">
    <w:p w14:paraId="43A3AACE" w14:textId="77777777" w:rsidR="002877C6" w:rsidRPr="00E721F8" w:rsidRDefault="002877C6" w:rsidP="00E721F8">
      <w:pPr>
        <w:rPr>
          <w:sz w:val="12"/>
        </w:rPr>
      </w:pPr>
      <w:r>
        <w:continuationSeparator/>
      </w:r>
    </w:p>
  </w:footnote>
  <w:footnote w:type="continuationNotice" w:id="1">
    <w:p w14:paraId="016C2DE8" w14:textId="77777777" w:rsidR="002877C6" w:rsidRDefault="002877C6">
      <w:pPr>
        <w:spacing w:after="0" w:line="240" w:lineRule="auto"/>
      </w:pPr>
    </w:p>
  </w:footnote>
  <w:footnote w:id="2">
    <w:p w14:paraId="683E7336" w14:textId="496143BB" w:rsidR="00005D55" w:rsidRDefault="00005D55">
      <w:pPr>
        <w:pStyle w:val="Notedebasdepage"/>
      </w:pPr>
    </w:p>
  </w:footnote>
  <w:footnote w:id="3">
    <w:p w14:paraId="3ED6CDBC" w14:textId="33703833" w:rsidR="00005D55" w:rsidRDefault="00BE446D">
      <w:pPr>
        <w:pStyle w:val="Notedebasdepage"/>
      </w:pPr>
      <w:r w:rsidRPr="00E721F8">
        <w:rPr>
          <w:rStyle w:val="Caractresdenotedebasdepage"/>
        </w:rPr>
        <w:footnoteRef/>
      </w:r>
      <w:r>
        <w:t xml:space="preserve"> Disponibles sur le site </w:t>
      </w:r>
      <w:hyperlink r:id="rId1" w:history="1">
        <w:r w:rsidR="00160471" w:rsidRPr="00234F84">
          <w:rPr>
            <w:rStyle w:val="Lienhypertexte"/>
            <w:rFonts w:cs="Calibri"/>
          </w:rPr>
          <w:t>https://barometre.parlons-velo.fr/2021/carte/</w:t>
        </w:r>
      </w:hyperlink>
    </w:p>
  </w:footnote>
  <w:footnote w:id="4">
    <w:p w14:paraId="519F8D72" w14:textId="2E04F152" w:rsidR="00005D55" w:rsidRDefault="00BE446D">
      <w:pPr>
        <w:pStyle w:val="Notedebasdepage"/>
      </w:pPr>
      <w:r w:rsidRPr="00E721F8">
        <w:rPr>
          <w:rStyle w:val="Caractresdenotedebasdepage"/>
        </w:rPr>
        <w:footnoteRef/>
      </w:r>
      <w:r w:rsidR="00943575">
        <w:t xml:space="preserve"> </w:t>
      </w:r>
      <w:r w:rsidR="00943575">
        <w:rPr>
          <w:rFonts w:eastAsia="Calibri"/>
        </w:rPr>
        <w:t xml:space="preserve"> </w:t>
      </w:r>
      <w:hyperlink r:id="rId2" w:history="1">
        <w:r w:rsidR="003F4DC4" w:rsidRPr="003F4DC4">
          <w:rPr>
            <w:rStyle w:val="Lienhypertexte"/>
            <w:rFonts w:cs="Calibri"/>
          </w:rPr>
          <w:t>https://www.velo-territoires.org/politiques-cyclables/data-velo-modeles-donnees/schema-donnees-amenagements-cyclables/</w:t>
        </w:r>
      </w:hyperlink>
    </w:p>
  </w:footnote>
  <w:footnote w:id="5">
    <w:p w14:paraId="71023AAF" w14:textId="77777777" w:rsidR="00005D55" w:rsidRDefault="00BE446D">
      <w:pPr>
        <w:pStyle w:val="Notedebasdepage"/>
      </w:pPr>
      <w:r w:rsidRPr="00E721F8">
        <w:rPr>
          <w:rStyle w:val="Caractresdenotedebasdepage"/>
        </w:rPr>
        <w:footnoteRef/>
      </w:r>
      <w:r>
        <w:t xml:space="preserve"> DREAL et autres services de l’Etat déconcentrés, selon la Région</w:t>
      </w:r>
    </w:p>
  </w:footnote>
  <w:footnote w:id="6">
    <w:p w14:paraId="7D923778" w14:textId="0EAAAC6F" w:rsidR="00005D55" w:rsidRDefault="00BE446D">
      <w:pPr>
        <w:pStyle w:val="Notedebasdepage"/>
      </w:pPr>
      <w:r>
        <w:rPr>
          <w:rStyle w:val="Caractresdenotedebasdepage"/>
        </w:rPr>
        <w:footnoteRef/>
      </w:r>
      <w:r>
        <w:rPr>
          <w:rFonts w:eastAsia="Calibri"/>
        </w:rPr>
        <w:t xml:space="preserve"> </w:t>
      </w:r>
      <w:r>
        <w:t xml:space="preserve">Voir </w:t>
      </w:r>
      <w:hyperlink r:id="rId3" w:history="1">
        <w:r w:rsidR="00943575" w:rsidRPr="0002576E">
          <w:rPr>
            <w:rStyle w:val="Lienhypertexte"/>
            <w:rFonts w:cs="Calibri"/>
          </w:rPr>
          <w:t xml:space="preserve">article 5 du </w:t>
        </w:r>
        <w:r w:rsidR="0002576E" w:rsidRPr="0002576E">
          <w:rPr>
            <w:rStyle w:val="Lienhypertexte"/>
            <w:rFonts w:cs="Calibri"/>
          </w:rPr>
          <w:t>d</w:t>
        </w:r>
        <w:r w:rsidR="00943575" w:rsidRPr="0002576E">
          <w:rPr>
            <w:rStyle w:val="Lienhypertexte"/>
            <w:rFonts w:cs="Calibri"/>
          </w:rPr>
          <w:t>écret n°2018-514</w:t>
        </w:r>
      </w:hyperlink>
      <w:r>
        <w:t xml:space="preserve"> du 25 juin 2018 relatif aux subventions de l'Etat pour des projets d'investissement.</w:t>
      </w:r>
    </w:p>
  </w:footnote>
  <w:footnote w:id="7">
    <w:p w14:paraId="6D66E602" w14:textId="77777777" w:rsidR="00005D55" w:rsidRDefault="00BE446D">
      <w:pPr>
        <w:pStyle w:val="Notedebasdepage"/>
      </w:pPr>
      <w:r w:rsidRPr="00E721F8">
        <w:rPr>
          <w:rStyle w:val="Caractresdenotedebasdepage"/>
        </w:rPr>
        <w:footnoteRef/>
      </w:r>
      <w:r>
        <w:t xml:space="preserve"> Dotation de soutien à l’investissement local et dotation de soutien à l’investissement des départements.</w:t>
      </w:r>
    </w:p>
  </w:footnote>
  <w:footnote w:id="8">
    <w:p w14:paraId="1F92DED4" w14:textId="77777777" w:rsidR="00005D55" w:rsidRDefault="00BE446D">
      <w:pPr>
        <w:pStyle w:val="Notedebasdepage"/>
      </w:pPr>
      <w:r w:rsidRPr="00E721F8">
        <w:rPr>
          <w:rStyle w:val="Caractresdenotedebasdepage"/>
        </w:rPr>
        <w:footnoteRef/>
      </w:r>
      <w:r>
        <w:t xml:space="preserve"> </w:t>
      </w:r>
      <w:proofErr w:type="gramStart"/>
      <w:r>
        <w:t>ou</w:t>
      </w:r>
      <w:proofErr w:type="gramEnd"/>
      <w:r>
        <w:t xml:space="preserve"> autres services de l’Etat déconcentrés, selon la Région</w:t>
      </w:r>
    </w:p>
    <w:p w14:paraId="607B277B" w14:textId="77777777" w:rsidR="00005D55" w:rsidRDefault="00005D5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6C92" w14:textId="77777777" w:rsidR="00005D55" w:rsidRDefault="00005D55">
    <w:pPr>
      <w:pStyle w:val="En-tte"/>
      <w:tabs>
        <w:tab w:val="clear" w:pos="4536"/>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70BD" w14:textId="0D661337" w:rsidR="00005D55" w:rsidRDefault="00BE446D">
    <w:pPr>
      <w:pStyle w:val="En-tte"/>
      <w:tabs>
        <w:tab w:val="clear" w:pos="4536"/>
      </w:tabs>
      <w:jc w:val="left"/>
    </w:pPr>
    <w:r>
      <w:rPr>
        <w:noProof/>
      </w:rPr>
      <w:drawing>
        <wp:anchor distT="0" distB="0" distL="114300" distR="114300" simplePos="0" relativeHeight="2" behindDoc="1" locked="0" layoutInCell="0" allowOverlap="1" wp14:anchorId="65D8BC67" wp14:editId="46C0A9CA">
          <wp:simplePos x="0" y="0"/>
          <wp:positionH relativeFrom="column">
            <wp:posOffset>-4445</wp:posOffset>
          </wp:positionH>
          <wp:positionV relativeFrom="paragraph">
            <wp:posOffset>-1905</wp:posOffset>
          </wp:positionV>
          <wp:extent cx="1524000" cy="1114425"/>
          <wp:effectExtent l="0" t="0" r="0" b="0"/>
          <wp:wrapTopAndBottom/>
          <wp:docPr id="1" name="Image 24" descr="H:\modèles\bloc marque\Min Transports bloc marque\jpg\MIN_Transports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4" descr="H:\modèles\bloc marque\Min Transports bloc marque\jpg\MIN_Transports_RVB.jpg"/>
                  <pic:cNvPicPr>
                    <a:picLocks noChangeAspect="1" noChangeArrowheads="1"/>
                  </pic:cNvPicPr>
                </pic:nvPicPr>
                <pic:blipFill>
                  <a:blip r:embed="rId1"/>
                  <a:stretch>
                    <a:fillRect/>
                  </a:stretch>
                </pic:blipFill>
                <pic:spPr bwMode="auto">
                  <a:xfrm>
                    <a:off x="0" y="0"/>
                    <a:ext cx="1524000" cy="111442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auto"/>
        <w:lang w:eastAsia="fr-FR"/>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Calibri" w:hAnsi="Calibri" w:cs="Calibri" w:hint="default"/>
        <w:color w:val="auto"/>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color w:val="00000A"/>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Cs w:val="22"/>
      </w:rPr>
    </w:lvl>
  </w:abstractNum>
  <w:abstractNum w:abstractNumId="11" w15:restartNumberingAfterBreak="0">
    <w:nsid w:val="0000000C"/>
    <w:multiLevelType w:val="singleLevel"/>
    <w:tmpl w:val="0000000C"/>
    <w:name w:val="WW8Num12"/>
    <w:lvl w:ilvl="0">
      <w:start w:val="1"/>
      <w:numFmt w:val="bullet"/>
      <w:lvlText w:val="o"/>
      <w:lvlJc w:val="left"/>
      <w:pPr>
        <w:tabs>
          <w:tab w:val="num" w:pos="0"/>
        </w:tabs>
        <w:ind w:left="1068" w:hanging="360"/>
      </w:pPr>
      <w:rPr>
        <w:rFonts w:ascii="Courier New" w:hAnsi="Courier New" w:cs="Courier New" w:hint="default"/>
        <w:color w:val="auto"/>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7CD7DFF"/>
    <w:multiLevelType w:val="multilevel"/>
    <w:tmpl w:val="F0A2248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CB40F17"/>
    <w:multiLevelType w:val="multilevel"/>
    <w:tmpl w:val="119E164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E2137B7"/>
    <w:multiLevelType w:val="hybridMultilevel"/>
    <w:tmpl w:val="51EE6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F6716A0"/>
    <w:multiLevelType w:val="multilevel"/>
    <w:tmpl w:val="57A6E890"/>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46E7EB3"/>
    <w:multiLevelType w:val="multilevel"/>
    <w:tmpl w:val="B87A8F0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A572275"/>
    <w:multiLevelType w:val="multilevel"/>
    <w:tmpl w:val="5A7A7C08"/>
    <w:lvl w:ilvl="0">
      <w:start w:val="1"/>
      <w:numFmt w:val="bullet"/>
      <w:lvlText w:val=""/>
      <w:lvlJc w:val="left"/>
      <w:pPr>
        <w:tabs>
          <w:tab w:val="num" w:pos="0"/>
        </w:tabs>
        <w:ind w:left="720" w:hanging="360"/>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C4A098D"/>
    <w:multiLevelType w:val="multilevel"/>
    <w:tmpl w:val="4CF82A38"/>
    <w:lvl w:ilvl="0">
      <w:start w:val="1"/>
      <w:numFmt w:val="bullet"/>
      <w:lvlText w:val=""/>
      <w:lvlJc w:val="left"/>
      <w:pPr>
        <w:tabs>
          <w:tab w:val="num" w:pos="0"/>
        </w:tabs>
        <w:ind w:left="720" w:hanging="360"/>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C6A3727"/>
    <w:multiLevelType w:val="multilevel"/>
    <w:tmpl w:val="3484320C"/>
    <w:lvl w:ilvl="0">
      <w:start w:val="1"/>
      <w:numFmt w:val="upperLetter"/>
      <w:pStyle w:val="Titre1"/>
      <w:lvlText w:val="%1."/>
      <w:lvlJc w:val="left"/>
      <w:pPr>
        <w:tabs>
          <w:tab w:val="num" w:pos="0"/>
        </w:tabs>
        <w:ind w:left="360" w:hanging="360"/>
      </w:pPr>
    </w:lvl>
    <w:lvl w:ilvl="1">
      <w:start w:val="1"/>
      <w:numFmt w:val="decimal"/>
      <w:pStyle w:val="Titre2"/>
      <w:lvlText w:val="%1.%2."/>
      <w:lvlJc w:val="left"/>
      <w:pPr>
        <w:tabs>
          <w:tab w:val="num" w:pos="0"/>
        </w:tabs>
        <w:ind w:left="792" w:hanging="432"/>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1D3B0DCB"/>
    <w:multiLevelType w:val="hybridMultilevel"/>
    <w:tmpl w:val="C3B6D6D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1D6A03"/>
    <w:multiLevelType w:val="hybridMultilevel"/>
    <w:tmpl w:val="A7F04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B264E9"/>
    <w:multiLevelType w:val="multilevel"/>
    <w:tmpl w:val="2E024A64"/>
    <w:lvl w:ilvl="0">
      <w:start w:val="1"/>
      <w:numFmt w:val="bullet"/>
      <w:lvlText w:val=""/>
      <w:lvlJc w:val="left"/>
      <w:pPr>
        <w:tabs>
          <w:tab w:val="num" w:pos="0"/>
        </w:tabs>
        <w:ind w:left="720" w:hanging="360"/>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3143773"/>
    <w:multiLevelType w:val="multilevel"/>
    <w:tmpl w:val="FDAE86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96E7225"/>
    <w:multiLevelType w:val="hybridMultilevel"/>
    <w:tmpl w:val="2FCC345C"/>
    <w:lvl w:ilvl="0" w:tplc="040C0001">
      <w:start w:val="1"/>
      <w:numFmt w:val="bullet"/>
      <w:lvlText w:val=""/>
      <w:lvlJc w:val="left"/>
      <w:pPr>
        <w:ind w:left="720" w:hanging="360"/>
      </w:pPr>
      <w:rPr>
        <w:rFonts w:ascii="Symbol" w:hAnsi="Symbol" w:hint="default"/>
      </w:rPr>
    </w:lvl>
    <w:lvl w:ilvl="1" w:tplc="3ADA4EA6">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5E6F27"/>
    <w:multiLevelType w:val="multilevel"/>
    <w:tmpl w:val="E8B2787C"/>
    <w:lvl w:ilvl="0">
      <w:numFmt w:val="bullet"/>
      <w:pStyle w:val="Puce"/>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91436A2"/>
    <w:multiLevelType w:val="multilevel"/>
    <w:tmpl w:val="52E4835C"/>
    <w:lvl w:ilvl="0">
      <w:start w:val="1"/>
      <w:numFmt w:val="bullet"/>
      <w:lvlText w:val=""/>
      <w:lvlJc w:val="left"/>
      <w:pPr>
        <w:tabs>
          <w:tab w:val="num" w:pos="0"/>
        </w:tabs>
        <w:ind w:left="720" w:hanging="360"/>
      </w:pPr>
      <w:rPr>
        <w:rFonts w:ascii="Symbol" w:hAnsi="Symbol" w:cs="Symbol" w:hint="default"/>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B3B3C75"/>
    <w:multiLevelType w:val="multilevel"/>
    <w:tmpl w:val="4E00D086"/>
    <w:lvl w:ilvl="0">
      <w:start w:val="1"/>
      <w:numFmt w:val="bullet"/>
      <w:lvlText w:val=""/>
      <w:lvlJc w:val="left"/>
      <w:pPr>
        <w:tabs>
          <w:tab w:val="num" w:pos="0"/>
        </w:tabs>
        <w:ind w:left="720" w:hanging="360"/>
      </w:pPr>
      <w:rPr>
        <w:rFonts w:ascii="Symbol" w:hAnsi="Symbol" w:cs="Symbol" w:hint="default"/>
        <w:color w:val="auto"/>
        <w:lang w:eastAsia="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EB5007E"/>
    <w:multiLevelType w:val="multilevel"/>
    <w:tmpl w:val="3F5E4400"/>
    <w:lvl w:ilvl="0">
      <w:start w:val="1"/>
      <w:numFmt w:val="decimal"/>
      <w:lvlText w:val="%1."/>
      <w:lvlJc w:val="left"/>
      <w:pPr>
        <w:tabs>
          <w:tab w:val="num" w:pos="0"/>
        </w:tabs>
        <w:ind w:left="720" w:hanging="360"/>
      </w:pPr>
      <w:rPr>
        <w:rFonts w:ascii="Calibri" w:hAnsi="Calibri" w:cs="Calibri"/>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4B423FA"/>
    <w:multiLevelType w:val="multilevel"/>
    <w:tmpl w:val="F3AE214E"/>
    <w:lvl w:ilvl="0">
      <w:start w:val="1"/>
      <w:numFmt w:val="bullet"/>
      <w:lvlText w:val="o"/>
      <w:lvlJc w:val="left"/>
      <w:pPr>
        <w:tabs>
          <w:tab w:val="num" w:pos="0"/>
        </w:tabs>
        <w:ind w:left="1068" w:hanging="360"/>
      </w:pPr>
      <w:rPr>
        <w:rFonts w:ascii="Courier New" w:hAnsi="Courier New" w:cs="Courier New"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0"/>
  </w:num>
  <w:num w:numId="2">
    <w:abstractNumId w:val="26"/>
  </w:num>
  <w:num w:numId="3">
    <w:abstractNumId w:val="28"/>
  </w:num>
  <w:num w:numId="4">
    <w:abstractNumId w:val="23"/>
  </w:num>
  <w:num w:numId="5">
    <w:abstractNumId w:val="19"/>
  </w:num>
  <w:num w:numId="6">
    <w:abstractNumId w:val="17"/>
  </w:num>
  <w:num w:numId="7">
    <w:abstractNumId w:val="14"/>
  </w:num>
  <w:num w:numId="8">
    <w:abstractNumId w:val="29"/>
  </w:num>
  <w:num w:numId="9">
    <w:abstractNumId w:val="13"/>
  </w:num>
  <w:num w:numId="10">
    <w:abstractNumId w:val="27"/>
  </w:num>
  <w:num w:numId="11">
    <w:abstractNumId w:val="30"/>
  </w:num>
  <w:num w:numId="12">
    <w:abstractNumId w:val="16"/>
  </w:num>
  <w:num w:numId="13">
    <w:abstractNumId w:val="24"/>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25"/>
  </w:num>
  <w:num w:numId="28">
    <w:abstractNumId w:val="22"/>
  </w:num>
  <w:num w:numId="29">
    <w:abstractNumId w:val="21"/>
  </w:num>
  <w:num w:numId="30">
    <w:abstractNumId w:val="15"/>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55"/>
    <w:rsid w:val="00005D55"/>
    <w:rsid w:val="0001237C"/>
    <w:rsid w:val="00012444"/>
    <w:rsid w:val="00012C67"/>
    <w:rsid w:val="0002576E"/>
    <w:rsid w:val="00037DB9"/>
    <w:rsid w:val="00041F17"/>
    <w:rsid w:val="000455AF"/>
    <w:rsid w:val="00051476"/>
    <w:rsid w:val="000537C9"/>
    <w:rsid w:val="00064B29"/>
    <w:rsid w:val="00073020"/>
    <w:rsid w:val="00082D1E"/>
    <w:rsid w:val="0008644A"/>
    <w:rsid w:val="000E6989"/>
    <w:rsid w:val="000F6FE0"/>
    <w:rsid w:val="00113E44"/>
    <w:rsid w:val="00133B5A"/>
    <w:rsid w:val="001514FB"/>
    <w:rsid w:val="00160471"/>
    <w:rsid w:val="00160B76"/>
    <w:rsid w:val="00175647"/>
    <w:rsid w:val="00194B20"/>
    <w:rsid w:val="001A0F56"/>
    <w:rsid w:val="001D2DD3"/>
    <w:rsid w:val="001E5347"/>
    <w:rsid w:val="001F39BD"/>
    <w:rsid w:val="001F58A6"/>
    <w:rsid w:val="00211B06"/>
    <w:rsid w:val="00234F84"/>
    <w:rsid w:val="00273368"/>
    <w:rsid w:val="002877C6"/>
    <w:rsid w:val="002D6296"/>
    <w:rsid w:val="002E38BC"/>
    <w:rsid w:val="003037C8"/>
    <w:rsid w:val="00315FE6"/>
    <w:rsid w:val="00320CCA"/>
    <w:rsid w:val="003576A0"/>
    <w:rsid w:val="00390BD9"/>
    <w:rsid w:val="003A49DA"/>
    <w:rsid w:val="003A657F"/>
    <w:rsid w:val="003F21F1"/>
    <w:rsid w:val="003F32E0"/>
    <w:rsid w:val="003F4DC4"/>
    <w:rsid w:val="004316AF"/>
    <w:rsid w:val="00443EC0"/>
    <w:rsid w:val="004444C2"/>
    <w:rsid w:val="004519F0"/>
    <w:rsid w:val="00451F5F"/>
    <w:rsid w:val="004524AB"/>
    <w:rsid w:val="0046627F"/>
    <w:rsid w:val="0047137F"/>
    <w:rsid w:val="00474659"/>
    <w:rsid w:val="00476664"/>
    <w:rsid w:val="0048446D"/>
    <w:rsid w:val="00486DBF"/>
    <w:rsid w:val="00495BA6"/>
    <w:rsid w:val="004D01EA"/>
    <w:rsid w:val="004D3AB8"/>
    <w:rsid w:val="004E6B86"/>
    <w:rsid w:val="0052691C"/>
    <w:rsid w:val="0054140A"/>
    <w:rsid w:val="0055424A"/>
    <w:rsid w:val="0055582C"/>
    <w:rsid w:val="005566CB"/>
    <w:rsid w:val="00574600"/>
    <w:rsid w:val="00574CF5"/>
    <w:rsid w:val="00583655"/>
    <w:rsid w:val="005B0F66"/>
    <w:rsid w:val="005B288E"/>
    <w:rsid w:val="005B2B43"/>
    <w:rsid w:val="00605368"/>
    <w:rsid w:val="006178BC"/>
    <w:rsid w:val="0063308A"/>
    <w:rsid w:val="0063610B"/>
    <w:rsid w:val="00642DBD"/>
    <w:rsid w:val="00646677"/>
    <w:rsid w:val="006709C3"/>
    <w:rsid w:val="006748A0"/>
    <w:rsid w:val="00683F93"/>
    <w:rsid w:val="00692D61"/>
    <w:rsid w:val="006A3D6D"/>
    <w:rsid w:val="006A44E9"/>
    <w:rsid w:val="006C3401"/>
    <w:rsid w:val="006D1F43"/>
    <w:rsid w:val="006D5E8C"/>
    <w:rsid w:val="006D642E"/>
    <w:rsid w:val="006E4E43"/>
    <w:rsid w:val="006F546F"/>
    <w:rsid w:val="006F5D93"/>
    <w:rsid w:val="007014E7"/>
    <w:rsid w:val="007019A4"/>
    <w:rsid w:val="00720394"/>
    <w:rsid w:val="00724314"/>
    <w:rsid w:val="00734BD9"/>
    <w:rsid w:val="00742264"/>
    <w:rsid w:val="00742FAD"/>
    <w:rsid w:val="00745B3D"/>
    <w:rsid w:val="0077162B"/>
    <w:rsid w:val="00780D8C"/>
    <w:rsid w:val="007A27F7"/>
    <w:rsid w:val="007B24FA"/>
    <w:rsid w:val="007C52B5"/>
    <w:rsid w:val="007D575A"/>
    <w:rsid w:val="007E0D09"/>
    <w:rsid w:val="007E54F9"/>
    <w:rsid w:val="007E75D8"/>
    <w:rsid w:val="007F3235"/>
    <w:rsid w:val="00814E4F"/>
    <w:rsid w:val="008166EF"/>
    <w:rsid w:val="008402AF"/>
    <w:rsid w:val="008527D7"/>
    <w:rsid w:val="00861370"/>
    <w:rsid w:val="00875F1E"/>
    <w:rsid w:val="00890BAC"/>
    <w:rsid w:val="008959CC"/>
    <w:rsid w:val="008A249C"/>
    <w:rsid w:val="008B08C2"/>
    <w:rsid w:val="009275D4"/>
    <w:rsid w:val="00941C7D"/>
    <w:rsid w:val="00942A32"/>
    <w:rsid w:val="00943575"/>
    <w:rsid w:val="00947B45"/>
    <w:rsid w:val="00954B64"/>
    <w:rsid w:val="009551FD"/>
    <w:rsid w:val="0098085F"/>
    <w:rsid w:val="009A0145"/>
    <w:rsid w:val="009A0597"/>
    <w:rsid w:val="009C750E"/>
    <w:rsid w:val="009C77B5"/>
    <w:rsid w:val="009E22F1"/>
    <w:rsid w:val="00A022F3"/>
    <w:rsid w:val="00A10C17"/>
    <w:rsid w:val="00A43AAE"/>
    <w:rsid w:val="00A62483"/>
    <w:rsid w:val="00A850BA"/>
    <w:rsid w:val="00A8640C"/>
    <w:rsid w:val="00A914D7"/>
    <w:rsid w:val="00A935DA"/>
    <w:rsid w:val="00AA3077"/>
    <w:rsid w:val="00AA6BAB"/>
    <w:rsid w:val="00AD2E65"/>
    <w:rsid w:val="00AD35F9"/>
    <w:rsid w:val="00AD6F15"/>
    <w:rsid w:val="00AF7CD0"/>
    <w:rsid w:val="00B12AC5"/>
    <w:rsid w:val="00B41E69"/>
    <w:rsid w:val="00B63FF2"/>
    <w:rsid w:val="00B66005"/>
    <w:rsid w:val="00B729E8"/>
    <w:rsid w:val="00B7619F"/>
    <w:rsid w:val="00B7633B"/>
    <w:rsid w:val="00BA527A"/>
    <w:rsid w:val="00BB1A24"/>
    <w:rsid w:val="00BC35C4"/>
    <w:rsid w:val="00BC6460"/>
    <w:rsid w:val="00BD6029"/>
    <w:rsid w:val="00BE446D"/>
    <w:rsid w:val="00BE7587"/>
    <w:rsid w:val="00BF1BD3"/>
    <w:rsid w:val="00C14E8D"/>
    <w:rsid w:val="00C16456"/>
    <w:rsid w:val="00C23CF4"/>
    <w:rsid w:val="00C26FA3"/>
    <w:rsid w:val="00C3563D"/>
    <w:rsid w:val="00C45786"/>
    <w:rsid w:val="00C76F14"/>
    <w:rsid w:val="00CB61CB"/>
    <w:rsid w:val="00CD171F"/>
    <w:rsid w:val="00CE428E"/>
    <w:rsid w:val="00D113B6"/>
    <w:rsid w:val="00D26C90"/>
    <w:rsid w:val="00D27305"/>
    <w:rsid w:val="00D45233"/>
    <w:rsid w:val="00D50888"/>
    <w:rsid w:val="00D71BED"/>
    <w:rsid w:val="00D73CED"/>
    <w:rsid w:val="00D90C50"/>
    <w:rsid w:val="00DA50E6"/>
    <w:rsid w:val="00DB3FC0"/>
    <w:rsid w:val="00DB4B01"/>
    <w:rsid w:val="00DB6622"/>
    <w:rsid w:val="00DB7A09"/>
    <w:rsid w:val="00DC23B9"/>
    <w:rsid w:val="00DD3127"/>
    <w:rsid w:val="00DD49EC"/>
    <w:rsid w:val="00DE1E38"/>
    <w:rsid w:val="00DF140B"/>
    <w:rsid w:val="00DF4476"/>
    <w:rsid w:val="00E067AD"/>
    <w:rsid w:val="00E06EE7"/>
    <w:rsid w:val="00E11240"/>
    <w:rsid w:val="00E16FC3"/>
    <w:rsid w:val="00E322CF"/>
    <w:rsid w:val="00E326EA"/>
    <w:rsid w:val="00E3513A"/>
    <w:rsid w:val="00E508D1"/>
    <w:rsid w:val="00E5370F"/>
    <w:rsid w:val="00E55B6D"/>
    <w:rsid w:val="00E721F8"/>
    <w:rsid w:val="00E8339B"/>
    <w:rsid w:val="00EA792A"/>
    <w:rsid w:val="00EB1FCF"/>
    <w:rsid w:val="00EC0744"/>
    <w:rsid w:val="00ED3626"/>
    <w:rsid w:val="00EE2ABF"/>
    <w:rsid w:val="00F103F8"/>
    <w:rsid w:val="00F13D0B"/>
    <w:rsid w:val="00F148B3"/>
    <w:rsid w:val="00F317EB"/>
    <w:rsid w:val="00F60396"/>
    <w:rsid w:val="00F63F9E"/>
    <w:rsid w:val="00F714C4"/>
    <w:rsid w:val="00F74A02"/>
    <w:rsid w:val="00F82E2E"/>
    <w:rsid w:val="00F946FE"/>
    <w:rsid w:val="00F97C21"/>
    <w:rsid w:val="00FB7359"/>
    <w:rsid w:val="00FD182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DC77"/>
  <w15:docId w15:val="{C2FD8852-FBB0-4882-8BB2-1AA92D32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2877C6"/>
    <w:pPr>
      <w:spacing w:after="160" w:line="252" w:lineRule="auto"/>
    </w:pPr>
    <w:rPr>
      <w:rFonts w:ascii="Calibri" w:hAnsi="Calibri" w:cs="Calibri"/>
      <w:sz w:val="22"/>
      <w:szCs w:val="22"/>
      <w:lang w:eastAsia="zh-CN"/>
    </w:rPr>
  </w:style>
  <w:style w:type="paragraph" w:styleId="Titre1">
    <w:name w:val="heading 1"/>
    <w:basedOn w:val="WW-Standard"/>
    <w:next w:val="Corpsdetexte"/>
    <w:qFormat/>
    <w:rsid w:val="002877C6"/>
    <w:pPr>
      <w:keepNext/>
      <w:numPr>
        <w:numId w:val="1"/>
      </w:numPr>
      <w:spacing w:before="240" w:after="240"/>
      <w:outlineLvl w:val="0"/>
    </w:pPr>
    <w:rPr>
      <w:b/>
      <w:bCs/>
      <w:caps/>
      <w:color w:val="3CB6EC"/>
      <w:sz w:val="28"/>
      <w:szCs w:val="32"/>
    </w:rPr>
  </w:style>
  <w:style w:type="paragraph" w:styleId="Titre2">
    <w:name w:val="heading 2"/>
    <w:basedOn w:val="WW-Standard"/>
    <w:next w:val="Corpsdetexte"/>
    <w:qFormat/>
    <w:rsid w:val="002877C6"/>
    <w:pPr>
      <w:keepNext/>
      <w:numPr>
        <w:ilvl w:val="1"/>
        <w:numId w:val="1"/>
      </w:numPr>
      <w:spacing w:before="240" w:after="120"/>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2877C6"/>
  </w:style>
  <w:style w:type="character" w:customStyle="1" w:styleId="WW8Num1z2">
    <w:name w:val="WW8Num1z2"/>
    <w:qFormat/>
    <w:rsid w:val="002877C6"/>
  </w:style>
  <w:style w:type="character" w:customStyle="1" w:styleId="WW8Num1z3">
    <w:name w:val="WW8Num1z3"/>
    <w:qFormat/>
    <w:rsid w:val="002877C6"/>
  </w:style>
  <w:style w:type="character" w:customStyle="1" w:styleId="WW8Num1z4">
    <w:name w:val="WW8Num1z4"/>
    <w:qFormat/>
    <w:rsid w:val="002877C6"/>
  </w:style>
  <w:style w:type="character" w:customStyle="1" w:styleId="WW8Num1z5">
    <w:name w:val="WW8Num1z5"/>
    <w:qFormat/>
    <w:rsid w:val="002877C6"/>
  </w:style>
  <w:style w:type="character" w:customStyle="1" w:styleId="WW8Num1z6">
    <w:name w:val="WW8Num1z6"/>
    <w:qFormat/>
    <w:rsid w:val="002877C6"/>
  </w:style>
  <w:style w:type="character" w:customStyle="1" w:styleId="WW8Num1z7">
    <w:name w:val="WW8Num1z7"/>
    <w:qFormat/>
    <w:rsid w:val="002877C6"/>
  </w:style>
  <w:style w:type="character" w:customStyle="1" w:styleId="WW8Num1z8">
    <w:name w:val="WW8Num1z8"/>
    <w:qFormat/>
    <w:rsid w:val="002877C6"/>
  </w:style>
  <w:style w:type="character" w:customStyle="1" w:styleId="WW8Num2z0">
    <w:name w:val="WW8Num2z0"/>
    <w:qFormat/>
    <w:rsid w:val="002877C6"/>
    <w:rPr>
      <w:rFonts w:ascii="Symbol" w:hAnsi="Symbol" w:cs="Symbol"/>
    </w:rPr>
  </w:style>
  <w:style w:type="character" w:customStyle="1" w:styleId="WW8Num2z1">
    <w:name w:val="WW8Num2z1"/>
    <w:qFormat/>
    <w:rsid w:val="002877C6"/>
    <w:rPr>
      <w:rFonts w:ascii="Courier New" w:hAnsi="Courier New" w:cs="Courier New"/>
    </w:rPr>
  </w:style>
  <w:style w:type="character" w:customStyle="1" w:styleId="WW8Num2z2">
    <w:name w:val="WW8Num2z2"/>
    <w:qFormat/>
    <w:rsid w:val="002877C6"/>
    <w:rPr>
      <w:rFonts w:ascii="Wingdings" w:hAnsi="Wingdings" w:cs="Wingdings"/>
    </w:rPr>
  </w:style>
  <w:style w:type="character" w:customStyle="1" w:styleId="WW8Num3z0">
    <w:name w:val="WW8Num3z0"/>
    <w:qFormat/>
    <w:rsid w:val="002877C6"/>
    <w:rPr>
      <w:rFonts w:ascii="Symbol" w:hAnsi="Symbol" w:cs="Symbol"/>
      <w:color w:val="auto"/>
      <w:lang w:eastAsia="fr-FR"/>
    </w:rPr>
  </w:style>
  <w:style w:type="character" w:customStyle="1" w:styleId="WW8Num4z0">
    <w:name w:val="WW8Num4z0"/>
    <w:qFormat/>
    <w:rsid w:val="002877C6"/>
    <w:rPr>
      <w:rFonts w:ascii="Symbol" w:hAnsi="Symbol" w:cs="Symbol"/>
      <w:color w:val="auto"/>
    </w:rPr>
  </w:style>
  <w:style w:type="character" w:customStyle="1" w:styleId="WW8Num5z0">
    <w:name w:val="WW8Num5z0"/>
    <w:qFormat/>
    <w:rsid w:val="002877C6"/>
    <w:rPr>
      <w:rFonts w:ascii="Symbol" w:hAnsi="Symbol" w:cs="Symbol"/>
      <w:color w:val="auto"/>
    </w:rPr>
  </w:style>
  <w:style w:type="character" w:customStyle="1" w:styleId="WW8Num6z0">
    <w:name w:val="WW8Num6z0"/>
    <w:qFormat/>
    <w:rsid w:val="002877C6"/>
    <w:rPr>
      <w:rFonts w:ascii="Symbol" w:hAnsi="Symbol" w:cs="Symbol"/>
    </w:rPr>
  </w:style>
  <w:style w:type="character" w:customStyle="1" w:styleId="WW8Num7z0">
    <w:name w:val="WW8Num7z0"/>
    <w:qFormat/>
    <w:rsid w:val="002877C6"/>
    <w:rPr>
      <w:rFonts w:ascii="Symbol" w:hAnsi="Symbol" w:cs="Symbol"/>
    </w:rPr>
  </w:style>
  <w:style w:type="character" w:customStyle="1" w:styleId="WW8Num8z0">
    <w:name w:val="WW8Num8z0"/>
    <w:qFormat/>
    <w:rsid w:val="002877C6"/>
    <w:rPr>
      <w:rFonts w:ascii="Calibri" w:hAnsi="Calibri" w:cs="Calibri"/>
      <w:color w:val="auto"/>
    </w:rPr>
  </w:style>
  <w:style w:type="character" w:customStyle="1" w:styleId="WW8Num9z0">
    <w:name w:val="WW8Num9z0"/>
    <w:qFormat/>
    <w:rsid w:val="002877C6"/>
  </w:style>
  <w:style w:type="character" w:customStyle="1" w:styleId="WW8Num10z0">
    <w:name w:val="WW8Num10z0"/>
    <w:qFormat/>
    <w:rsid w:val="002877C6"/>
    <w:rPr>
      <w:rFonts w:ascii="Symbol" w:hAnsi="Symbol" w:cs="Symbol"/>
      <w:color w:val="00000A"/>
    </w:rPr>
  </w:style>
  <w:style w:type="character" w:customStyle="1" w:styleId="WW8Num11z0">
    <w:name w:val="WW8Num11z0"/>
    <w:qFormat/>
    <w:rsid w:val="002877C6"/>
    <w:rPr>
      <w:rFonts w:ascii="Symbol" w:hAnsi="Symbol" w:cs="Symbol"/>
      <w:szCs w:val="22"/>
    </w:rPr>
  </w:style>
  <w:style w:type="character" w:customStyle="1" w:styleId="WW8Num12z0">
    <w:name w:val="WW8Num12z0"/>
    <w:qFormat/>
    <w:rsid w:val="002877C6"/>
    <w:rPr>
      <w:rFonts w:ascii="Courier New" w:hAnsi="Courier New" w:cs="Courier New"/>
      <w:color w:val="auto"/>
    </w:rPr>
  </w:style>
  <w:style w:type="character" w:customStyle="1" w:styleId="WW8Num13z0">
    <w:name w:val="WW8Num13z0"/>
    <w:qFormat/>
    <w:rsid w:val="002877C6"/>
    <w:rPr>
      <w:rFonts w:ascii="Symbol" w:hAnsi="Symbol" w:cs="Symbol"/>
    </w:rPr>
  </w:style>
  <w:style w:type="character" w:customStyle="1" w:styleId="WW8Num13z1">
    <w:name w:val="WW8Num13z1"/>
    <w:qFormat/>
    <w:rsid w:val="002877C6"/>
    <w:rPr>
      <w:rFonts w:ascii="Courier New" w:hAnsi="Courier New" w:cs="Courier New"/>
    </w:rPr>
  </w:style>
  <w:style w:type="character" w:customStyle="1" w:styleId="WW8Num13z2">
    <w:name w:val="WW8Num13z2"/>
    <w:qFormat/>
    <w:rsid w:val="002877C6"/>
    <w:rPr>
      <w:rFonts w:ascii="Wingdings" w:hAnsi="Wingdings" w:cs="Wingdings"/>
    </w:rPr>
  </w:style>
  <w:style w:type="character" w:customStyle="1" w:styleId="WW8Num14z0">
    <w:name w:val="WW8Num14z0"/>
    <w:qFormat/>
    <w:rsid w:val="002877C6"/>
    <w:rPr>
      <w:rFonts w:ascii="Symbol" w:hAnsi="Symbol" w:cs="Symbol"/>
    </w:rPr>
  </w:style>
  <w:style w:type="character" w:customStyle="1" w:styleId="WW8Num14z1">
    <w:name w:val="WW8Num14z1"/>
    <w:qFormat/>
    <w:rsid w:val="002877C6"/>
    <w:rPr>
      <w:rFonts w:ascii="Courier New" w:hAnsi="Courier New" w:cs="Courier New"/>
    </w:rPr>
  </w:style>
  <w:style w:type="character" w:customStyle="1" w:styleId="WW8Num14z2">
    <w:name w:val="WW8Num14z2"/>
    <w:qFormat/>
    <w:rsid w:val="002877C6"/>
    <w:rPr>
      <w:rFonts w:ascii="Wingdings" w:hAnsi="Wingdings" w:cs="Wingdings"/>
    </w:rPr>
  </w:style>
  <w:style w:type="character" w:customStyle="1" w:styleId="Policepardfaut7">
    <w:name w:val="Police par défaut7"/>
    <w:qFormat/>
    <w:rsid w:val="002877C6"/>
  </w:style>
  <w:style w:type="character" w:customStyle="1" w:styleId="Policepardfaut6">
    <w:name w:val="Police par défaut6"/>
    <w:qFormat/>
    <w:rsid w:val="002877C6"/>
  </w:style>
  <w:style w:type="character" w:customStyle="1" w:styleId="WW8Num1z1">
    <w:name w:val="WW8Num1z1"/>
    <w:qFormat/>
    <w:rsid w:val="002877C6"/>
  </w:style>
  <w:style w:type="character" w:customStyle="1" w:styleId="WW8Num8z1">
    <w:name w:val="WW8Num8z1"/>
    <w:qFormat/>
    <w:rsid w:val="002877C6"/>
    <w:rPr>
      <w:rFonts w:ascii="OpenSymbol" w:hAnsi="OpenSymbol" w:cs="OpenSymbol"/>
    </w:rPr>
  </w:style>
  <w:style w:type="character" w:customStyle="1" w:styleId="WW8Num12z1">
    <w:name w:val="WW8Num12z1"/>
    <w:qFormat/>
    <w:rsid w:val="002877C6"/>
    <w:rPr>
      <w:rFonts w:ascii="Calibri" w:hAnsi="Calibri" w:cs="Times New Roman"/>
    </w:rPr>
  </w:style>
  <w:style w:type="character" w:customStyle="1" w:styleId="WW8Num12z2">
    <w:name w:val="WW8Num12z2"/>
    <w:qFormat/>
    <w:rsid w:val="002877C6"/>
    <w:rPr>
      <w:rFonts w:ascii="Wingdings" w:hAnsi="Wingdings" w:cs="Wingdings"/>
    </w:rPr>
  </w:style>
  <w:style w:type="character" w:customStyle="1" w:styleId="WW8Num12z4">
    <w:name w:val="WW8Num12z4"/>
    <w:qFormat/>
    <w:rsid w:val="002877C6"/>
    <w:rPr>
      <w:rFonts w:ascii="Courier New" w:hAnsi="Courier New" w:cs="Courier New"/>
    </w:rPr>
  </w:style>
  <w:style w:type="character" w:customStyle="1" w:styleId="WW8Num15z0">
    <w:name w:val="WW8Num15z0"/>
    <w:qFormat/>
    <w:rsid w:val="002877C6"/>
    <w:rPr>
      <w:rFonts w:ascii="Symbol" w:hAnsi="Symbol" w:cs="Symbol"/>
    </w:rPr>
  </w:style>
  <w:style w:type="character" w:customStyle="1" w:styleId="WW8Num15z1">
    <w:name w:val="WW8Num15z1"/>
    <w:qFormat/>
    <w:rsid w:val="002877C6"/>
    <w:rPr>
      <w:rFonts w:ascii="NewsGoth BT" w:hAnsi="NewsGoth BT" w:cs="Times New Roman"/>
      <w:sz w:val="20"/>
      <w:szCs w:val="20"/>
    </w:rPr>
  </w:style>
  <w:style w:type="character" w:customStyle="1" w:styleId="WW8Num15z4">
    <w:name w:val="WW8Num15z4"/>
    <w:qFormat/>
    <w:rsid w:val="002877C6"/>
    <w:rPr>
      <w:rFonts w:ascii="Courier New" w:hAnsi="Courier New" w:cs="Courier New"/>
    </w:rPr>
  </w:style>
  <w:style w:type="character" w:customStyle="1" w:styleId="WW8Num15z5">
    <w:name w:val="WW8Num15z5"/>
    <w:qFormat/>
    <w:rsid w:val="002877C6"/>
    <w:rPr>
      <w:rFonts w:ascii="Wingdings" w:hAnsi="Wingdings" w:cs="Wingdings"/>
    </w:rPr>
  </w:style>
  <w:style w:type="character" w:customStyle="1" w:styleId="WW8Num16z0">
    <w:name w:val="WW8Num16z0"/>
    <w:qFormat/>
    <w:rsid w:val="002877C6"/>
    <w:rPr>
      <w:rFonts w:ascii="Symbol" w:hAnsi="Symbol" w:cs="Symbol"/>
    </w:rPr>
  </w:style>
  <w:style w:type="character" w:customStyle="1" w:styleId="WW8Num16z1">
    <w:name w:val="WW8Num16z1"/>
    <w:qFormat/>
    <w:rsid w:val="002877C6"/>
    <w:rPr>
      <w:rFonts w:ascii="Courier New" w:hAnsi="Courier New" w:cs="Courier New"/>
    </w:rPr>
  </w:style>
  <w:style w:type="character" w:customStyle="1" w:styleId="WW8Num16z2">
    <w:name w:val="WW8Num16z2"/>
    <w:qFormat/>
    <w:rsid w:val="002877C6"/>
    <w:rPr>
      <w:rFonts w:ascii="Wingdings" w:hAnsi="Wingdings" w:cs="Wingdings"/>
    </w:rPr>
  </w:style>
  <w:style w:type="character" w:customStyle="1" w:styleId="WW8Num17z0">
    <w:name w:val="WW8Num17z0"/>
    <w:qFormat/>
    <w:rsid w:val="002877C6"/>
    <w:rPr>
      <w:rFonts w:ascii="Symbol" w:hAnsi="Symbol" w:cs="Symbol"/>
    </w:rPr>
  </w:style>
  <w:style w:type="character" w:customStyle="1" w:styleId="WW8Num17z1">
    <w:name w:val="WW8Num17z1"/>
    <w:qFormat/>
    <w:rsid w:val="002877C6"/>
    <w:rPr>
      <w:rFonts w:ascii="Courier New" w:hAnsi="Courier New" w:cs="Courier New"/>
    </w:rPr>
  </w:style>
  <w:style w:type="character" w:customStyle="1" w:styleId="WW8Num17z2">
    <w:name w:val="WW8Num17z2"/>
    <w:qFormat/>
    <w:rsid w:val="002877C6"/>
    <w:rPr>
      <w:rFonts w:ascii="Wingdings" w:hAnsi="Wingdings" w:cs="Wingdings"/>
    </w:rPr>
  </w:style>
  <w:style w:type="character" w:customStyle="1" w:styleId="WW8Num18z0">
    <w:name w:val="WW8Num18z0"/>
    <w:qFormat/>
    <w:rsid w:val="002877C6"/>
    <w:rPr>
      <w:rFonts w:ascii="Symbol" w:hAnsi="Symbol" w:cs="Symbol"/>
    </w:rPr>
  </w:style>
  <w:style w:type="character" w:customStyle="1" w:styleId="WW8Num18z1">
    <w:name w:val="WW8Num18z1"/>
    <w:qFormat/>
    <w:rsid w:val="002877C6"/>
    <w:rPr>
      <w:rFonts w:ascii="Courier New" w:hAnsi="Courier New" w:cs="Courier New"/>
    </w:rPr>
  </w:style>
  <w:style w:type="character" w:customStyle="1" w:styleId="WW8Num18z2">
    <w:name w:val="WW8Num18z2"/>
    <w:qFormat/>
    <w:rsid w:val="002877C6"/>
    <w:rPr>
      <w:rFonts w:ascii="Wingdings" w:hAnsi="Wingdings" w:cs="Wingdings"/>
    </w:rPr>
  </w:style>
  <w:style w:type="character" w:customStyle="1" w:styleId="WW8Num19z0">
    <w:name w:val="WW8Num19z0"/>
    <w:qFormat/>
    <w:rsid w:val="002877C6"/>
  </w:style>
  <w:style w:type="character" w:customStyle="1" w:styleId="WW8Num20z0">
    <w:name w:val="WW8Num20z0"/>
    <w:qFormat/>
    <w:rsid w:val="002877C6"/>
  </w:style>
  <w:style w:type="character" w:customStyle="1" w:styleId="WW8Num21z0">
    <w:name w:val="WW8Num21z0"/>
    <w:qFormat/>
    <w:rsid w:val="002877C6"/>
    <w:rPr>
      <w:rFonts w:ascii="Symbol" w:hAnsi="Symbol" w:cs="Symbol"/>
    </w:rPr>
  </w:style>
  <w:style w:type="character" w:customStyle="1" w:styleId="WW8Num21z1">
    <w:name w:val="WW8Num21z1"/>
    <w:qFormat/>
    <w:rsid w:val="002877C6"/>
    <w:rPr>
      <w:rFonts w:ascii="Courier New" w:hAnsi="Courier New" w:cs="Courier New"/>
    </w:rPr>
  </w:style>
  <w:style w:type="character" w:customStyle="1" w:styleId="WW8Num21z2">
    <w:name w:val="WW8Num21z2"/>
    <w:qFormat/>
    <w:rsid w:val="002877C6"/>
    <w:rPr>
      <w:rFonts w:ascii="Wingdings" w:hAnsi="Wingdings" w:cs="Wingdings"/>
    </w:rPr>
  </w:style>
  <w:style w:type="character" w:customStyle="1" w:styleId="WW8Num22z0">
    <w:name w:val="WW8Num22z0"/>
    <w:qFormat/>
    <w:rsid w:val="002877C6"/>
    <w:rPr>
      <w:rFonts w:ascii="Symbol" w:hAnsi="Symbol" w:cs="Symbol"/>
    </w:rPr>
  </w:style>
  <w:style w:type="character" w:customStyle="1" w:styleId="WW8Num22z1">
    <w:name w:val="WW8Num22z1"/>
    <w:qFormat/>
    <w:rsid w:val="002877C6"/>
    <w:rPr>
      <w:rFonts w:ascii="Courier New" w:hAnsi="Courier New" w:cs="Courier New"/>
    </w:rPr>
  </w:style>
  <w:style w:type="character" w:customStyle="1" w:styleId="WW8Num22z2">
    <w:name w:val="WW8Num22z2"/>
    <w:qFormat/>
    <w:rsid w:val="002877C6"/>
    <w:rPr>
      <w:rFonts w:ascii="Wingdings" w:hAnsi="Wingdings" w:cs="Wingdings"/>
    </w:rPr>
  </w:style>
  <w:style w:type="character" w:customStyle="1" w:styleId="WW8Num23z0">
    <w:name w:val="WW8Num23z0"/>
    <w:qFormat/>
    <w:rsid w:val="002877C6"/>
    <w:rPr>
      <w:rFonts w:ascii="Calibri" w:hAnsi="Calibri" w:cs="Calibri"/>
      <w:color w:val="auto"/>
    </w:rPr>
  </w:style>
  <w:style w:type="character" w:customStyle="1" w:styleId="WW8Num23z1">
    <w:name w:val="WW8Num23z1"/>
    <w:qFormat/>
    <w:rsid w:val="002877C6"/>
  </w:style>
  <w:style w:type="character" w:customStyle="1" w:styleId="WW8Num23z2">
    <w:name w:val="WW8Num23z2"/>
    <w:qFormat/>
    <w:rsid w:val="002877C6"/>
  </w:style>
  <w:style w:type="character" w:customStyle="1" w:styleId="WW8Num23z3">
    <w:name w:val="WW8Num23z3"/>
    <w:qFormat/>
    <w:rsid w:val="002877C6"/>
  </w:style>
  <w:style w:type="character" w:customStyle="1" w:styleId="WW8Num23z4">
    <w:name w:val="WW8Num23z4"/>
    <w:qFormat/>
    <w:rsid w:val="002877C6"/>
  </w:style>
  <w:style w:type="character" w:customStyle="1" w:styleId="WW8Num23z5">
    <w:name w:val="WW8Num23z5"/>
    <w:qFormat/>
    <w:rsid w:val="002877C6"/>
  </w:style>
  <w:style w:type="character" w:customStyle="1" w:styleId="WW8Num23z6">
    <w:name w:val="WW8Num23z6"/>
    <w:qFormat/>
    <w:rsid w:val="002877C6"/>
  </w:style>
  <w:style w:type="character" w:customStyle="1" w:styleId="WW8Num23z7">
    <w:name w:val="WW8Num23z7"/>
    <w:qFormat/>
    <w:rsid w:val="002877C6"/>
  </w:style>
  <w:style w:type="character" w:customStyle="1" w:styleId="WW8Num23z8">
    <w:name w:val="WW8Num23z8"/>
    <w:qFormat/>
    <w:rsid w:val="002877C6"/>
  </w:style>
  <w:style w:type="character" w:customStyle="1" w:styleId="WW8Num24z0">
    <w:name w:val="WW8Num24z0"/>
    <w:qFormat/>
    <w:rsid w:val="002877C6"/>
    <w:rPr>
      <w:rFonts w:ascii="Symbol" w:hAnsi="Symbol" w:cs="Symbol"/>
    </w:rPr>
  </w:style>
  <w:style w:type="character" w:customStyle="1" w:styleId="WW8Num24z1">
    <w:name w:val="WW8Num24z1"/>
    <w:qFormat/>
    <w:rsid w:val="002877C6"/>
    <w:rPr>
      <w:rFonts w:ascii="Courier New" w:hAnsi="Courier New" w:cs="Courier New"/>
    </w:rPr>
  </w:style>
  <w:style w:type="character" w:customStyle="1" w:styleId="WW8Num24z2">
    <w:name w:val="WW8Num24z2"/>
    <w:qFormat/>
    <w:rsid w:val="002877C6"/>
    <w:rPr>
      <w:rFonts w:ascii="Wingdings" w:hAnsi="Wingdings" w:cs="Wingdings"/>
    </w:rPr>
  </w:style>
  <w:style w:type="character" w:customStyle="1" w:styleId="WW8Num25z0">
    <w:name w:val="WW8Num25z0"/>
    <w:qFormat/>
    <w:rsid w:val="002877C6"/>
    <w:rPr>
      <w:rFonts w:ascii="Calibri" w:eastAsia="Times New Roman" w:hAnsi="Calibri" w:cs="Calibri"/>
    </w:rPr>
  </w:style>
  <w:style w:type="character" w:customStyle="1" w:styleId="WW8Num25z1">
    <w:name w:val="WW8Num25z1"/>
    <w:qFormat/>
    <w:rsid w:val="002877C6"/>
    <w:rPr>
      <w:rFonts w:ascii="Courier New" w:hAnsi="Courier New" w:cs="Courier New"/>
    </w:rPr>
  </w:style>
  <w:style w:type="character" w:customStyle="1" w:styleId="WW8Num25z2">
    <w:name w:val="WW8Num25z2"/>
    <w:qFormat/>
    <w:rsid w:val="002877C6"/>
    <w:rPr>
      <w:rFonts w:ascii="Wingdings" w:hAnsi="Wingdings" w:cs="Wingdings"/>
    </w:rPr>
  </w:style>
  <w:style w:type="character" w:customStyle="1" w:styleId="WW8Num25z3">
    <w:name w:val="WW8Num25z3"/>
    <w:qFormat/>
    <w:rsid w:val="002877C6"/>
    <w:rPr>
      <w:rFonts w:ascii="Symbol" w:hAnsi="Symbol" w:cs="Symbol"/>
    </w:rPr>
  </w:style>
  <w:style w:type="character" w:customStyle="1" w:styleId="WW8Num26z0">
    <w:name w:val="WW8Num26z0"/>
    <w:qFormat/>
    <w:rsid w:val="002877C6"/>
    <w:rPr>
      <w:rFonts w:ascii="Symbol" w:hAnsi="Symbol" w:cs="Symbol"/>
    </w:rPr>
  </w:style>
  <w:style w:type="character" w:customStyle="1" w:styleId="WW8Num26z1">
    <w:name w:val="WW8Num26z1"/>
    <w:qFormat/>
    <w:rsid w:val="002877C6"/>
    <w:rPr>
      <w:rFonts w:ascii="Courier New" w:hAnsi="Courier New" w:cs="Courier New"/>
    </w:rPr>
  </w:style>
  <w:style w:type="character" w:customStyle="1" w:styleId="WW8Num26z2">
    <w:name w:val="WW8Num26z2"/>
    <w:qFormat/>
    <w:rsid w:val="002877C6"/>
    <w:rPr>
      <w:rFonts w:ascii="Wingdings" w:hAnsi="Wingdings" w:cs="Wingdings"/>
    </w:rPr>
  </w:style>
  <w:style w:type="character" w:customStyle="1" w:styleId="WW8Num27z0">
    <w:name w:val="WW8Num27z0"/>
    <w:qFormat/>
    <w:rsid w:val="002877C6"/>
  </w:style>
  <w:style w:type="character" w:customStyle="1" w:styleId="WW8Num27z1">
    <w:name w:val="WW8Num27z1"/>
    <w:qFormat/>
    <w:rsid w:val="002877C6"/>
  </w:style>
  <w:style w:type="character" w:customStyle="1" w:styleId="WW8Num27z2">
    <w:name w:val="WW8Num27z2"/>
    <w:qFormat/>
    <w:rsid w:val="002877C6"/>
  </w:style>
  <w:style w:type="character" w:customStyle="1" w:styleId="WW8Num27z3">
    <w:name w:val="WW8Num27z3"/>
    <w:qFormat/>
    <w:rsid w:val="002877C6"/>
  </w:style>
  <w:style w:type="character" w:customStyle="1" w:styleId="WW8Num27z4">
    <w:name w:val="WW8Num27z4"/>
    <w:qFormat/>
    <w:rsid w:val="002877C6"/>
  </w:style>
  <w:style w:type="character" w:customStyle="1" w:styleId="WW8Num27z5">
    <w:name w:val="WW8Num27z5"/>
    <w:qFormat/>
    <w:rsid w:val="002877C6"/>
  </w:style>
  <w:style w:type="character" w:customStyle="1" w:styleId="WW8Num27z6">
    <w:name w:val="WW8Num27z6"/>
    <w:qFormat/>
    <w:rsid w:val="002877C6"/>
  </w:style>
  <w:style w:type="character" w:customStyle="1" w:styleId="WW8Num27z7">
    <w:name w:val="WW8Num27z7"/>
    <w:qFormat/>
    <w:rsid w:val="002877C6"/>
  </w:style>
  <w:style w:type="character" w:customStyle="1" w:styleId="WW8Num27z8">
    <w:name w:val="WW8Num27z8"/>
    <w:qFormat/>
    <w:rsid w:val="002877C6"/>
  </w:style>
  <w:style w:type="character" w:customStyle="1" w:styleId="WW8Num28z0">
    <w:name w:val="WW8Num28z0"/>
    <w:qFormat/>
    <w:rsid w:val="002877C6"/>
    <w:rPr>
      <w:rFonts w:ascii="Symbol" w:hAnsi="Symbol" w:cs="Symbol"/>
      <w:color w:val="00000A"/>
    </w:rPr>
  </w:style>
  <w:style w:type="character" w:customStyle="1" w:styleId="WW8Num28z1">
    <w:name w:val="WW8Num28z1"/>
    <w:qFormat/>
    <w:rsid w:val="002877C6"/>
    <w:rPr>
      <w:rFonts w:ascii="Courier New" w:hAnsi="Courier New" w:cs="Courier New"/>
    </w:rPr>
  </w:style>
  <w:style w:type="character" w:customStyle="1" w:styleId="WW8Num28z2">
    <w:name w:val="WW8Num28z2"/>
    <w:qFormat/>
    <w:rsid w:val="002877C6"/>
    <w:rPr>
      <w:rFonts w:ascii="Wingdings" w:hAnsi="Wingdings" w:cs="Wingdings"/>
    </w:rPr>
  </w:style>
  <w:style w:type="character" w:customStyle="1" w:styleId="WW8Num29z0">
    <w:name w:val="WW8Num29z0"/>
    <w:qFormat/>
    <w:rsid w:val="002877C6"/>
    <w:rPr>
      <w:rFonts w:ascii="Symbol" w:hAnsi="Symbol" w:cs="Symbol"/>
    </w:rPr>
  </w:style>
  <w:style w:type="character" w:customStyle="1" w:styleId="WW8Num29z1">
    <w:name w:val="WW8Num29z1"/>
    <w:qFormat/>
    <w:rsid w:val="002877C6"/>
    <w:rPr>
      <w:rFonts w:ascii="Courier New" w:hAnsi="Courier New" w:cs="Courier New"/>
    </w:rPr>
  </w:style>
  <w:style w:type="character" w:customStyle="1" w:styleId="WW8Num29z2">
    <w:name w:val="WW8Num29z2"/>
    <w:qFormat/>
    <w:rsid w:val="002877C6"/>
    <w:rPr>
      <w:rFonts w:ascii="Wingdings" w:hAnsi="Wingdings" w:cs="Wingdings"/>
    </w:rPr>
  </w:style>
  <w:style w:type="character" w:customStyle="1" w:styleId="WW8Num30z0">
    <w:name w:val="WW8Num30z0"/>
    <w:qFormat/>
    <w:rsid w:val="002877C6"/>
  </w:style>
  <w:style w:type="character" w:customStyle="1" w:styleId="WW8Num31z0">
    <w:name w:val="WW8Num31z0"/>
    <w:qFormat/>
    <w:rsid w:val="002877C6"/>
  </w:style>
  <w:style w:type="character" w:customStyle="1" w:styleId="WW8Num31z1">
    <w:name w:val="WW8Num31z1"/>
    <w:qFormat/>
    <w:rsid w:val="002877C6"/>
    <w:rPr>
      <w:rFonts w:ascii="Courier New" w:hAnsi="Courier New" w:cs="Courier New"/>
    </w:rPr>
  </w:style>
  <w:style w:type="character" w:customStyle="1" w:styleId="WW8Num31z2">
    <w:name w:val="WW8Num31z2"/>
    <w:qFormat/>
    <w:rsid w:val="002877C6"/>
    <w:rPr>
      <w:rFonts w:ascii="Calibri" w:eastAsia="Calibri" w:hAnsi="Calibri" w:cs="Calibri"/>
    </w:rPr>
  </w:style>
  <w:style w:type="character" w:customStyle="1" w:styleId="WW8Num31z3">
    <w:name w:val="WW8Num31z3"/>
    <w:qFormat/>
    <w:rsid w:val="002877C6"/>
  </w:style>
  <w:style w:type="character" w:customStyle="1" w:styleId="WW8Num31z4">
    <w:name w:val="WW8Num31z4"/>
    <w:qFormat/>
    <w:rsid w:val="002877C6"/>
  </w:style>
  <w:style w:type="character" w:customStyle="1" w:styleId="WW8Num31z5">
    <w:name w:val="WW8Num31z5"/>
    <w:qFormat/>
    <w:rsid w:val="002877C6"/>
  </w:style>
  <w:style w:type="character" w:customStyle="1" w:styleId="WW8Num31z6">
    <w:name w:val="WW8Num31z6"/>
    <w:qFormat/>
    <w:rsid w:val="002877C6"/>
  </w:style>
  <w:style w:type="character" w:customStyle="1" w:styleId="WW8Num31z7">
    <w:name w:val="WW8Num31z7"/>
    <w:qFormat/>
    <w:rsid w:val="002877C6"/>
  </w:style>
  <w:style w:type="character" w:customStyle="1" w:styleId="WW8Num31z8">
    <w:name w:val="WW8Num31z8"/>
    <w:qFormat/>
    <w:rsid w:val="002877C6"/>
  </w:style>
  <w:style w:type="character" w:customStyle="1" w:styleId="WW8Num32z0">
    <w:name w:val="WW8Num32z0"/>
    <w:qFormat/>
    <w:rsid w:val="002877C6"/>
    <w:rPr>
      <w:rFonts w:ascii="Symbol" w:hAnsi="Symbol" w:cs="Symbol"/>
    </w:rPr>
  </w:style>
  <w:style w:type="character" w:customStyle="1" w:styleId="WW8Num32z1">
    <w:name w:val="WW8Num32z1"/>
    <w:qFormat/>
    <w:rsid w:val="002877C6"/>
    <w:rPr>
      <w:rFonts w:ascii="Courier New" w:hAnsi="Courier New" w:cs="Courier New"/>
    </w:rPr>
  </w:style>
  <w:style w:type="character" w:customStyle="1" w:styleId="WW8Num32z2">
    <w:name w:val="WW8Num32z2"/>
    <w:qFormat/>
    <w:rsid w:val="002877C6"/>
    <w:rPr>
      <w:rFonts w:ascii="Wingdings" w:hAnsi="Wingdings" w:cs="Wingdings"/>
    </w:rPr>
  </w:style>
  <w:style w:type="character" w:customStyle="1" w:styleId="WW8Num33z0">
    <w:name w:val="WW8Num33z0"/>
    <w:qFormat/>
    <w:rsid w:val="002877C6"/>
    <w:rPr>
      <w:rFonts w:ascii="Courier New" w:hAnsi="Courier New" w:cs="Courier New"/>
      <w:color w:val="auto"/>
    </w:rPr>
  </w:style>
  <w:style w:type="character" w:customStyle="1" w:styleId="WW8Num33z2">
    <w:name w:val="WW8Num33z2"/>
    <w:qFormat/>
    <w:rsid w:val="002877C6"/>
    <w:rPr>
      <w:rFonts w:ascii="Wingdings" w:hAnsi="Wingdings" w:cs="Wingdings"/>
    </w:rPr>
  </w:style>
  <w:style w:type="character" w:customStyle="1" w:styleId="WW8Num33z3">
    <w:name w:val="WW8Num33z3"/>
    <w:qFormat/>
    <w:rsid w:val="002877C6"/>
    <w:rPr>
      <w:rFonts w:ascii="Symbol" w:hAnsi="Symbol" w:cs="Symbol"/>
    </w:rPr>
  </w:style>
  <w:style w:type="character" w:customStyle="1" w:styleId="Policepardfaut5">
    <w:name w:val="Police par défaut5"/>
    <w:qFormat/>
    <w:rsid w:val="002877C6"/>
  </w:style>
  <w:style w:type="character" w:customStyle="1" w:styleId="WW8Num13z4">
    <w:name w:val="WW8Num13z4"/>
    <w:qFormat/>
    <w:rsid w:val="002877C6"/>
    <w:rPr>
      <w:rFonts w:ascii="Courier New" w:hAnsi="Courier New" w:cs="Courier New"/>
    </w:rPr>
  </w:style>
  <w:style w:type="character" w:customStyle="1" w:styleId="WW8Num16z4">
    <w:name w:val="WW8Num16z4"/>
    <w:qFormat/>
    <w:rsid w:val="002877C6"/>
    <w:rPr>
      <w:rFonts w:ascii="Courier New" w:hAnsi="Courier New" w:cs="Courier New"/>
    </w:rPr>
  </w:style>
  <w:style w:type="character" w:customStyle="1" w:styleId="WW8Num16z5">
    <w:name w:val="WW8Num16z5"/>
    <w:qFormat/>
    <w:rsid w:val="002877C6"/>
    <w:rPr>
      <w:rFonts w:ascii="Wingdings" w:hAnsi="Wingdings" w:cs="Wingdings"/>
    </w:rPr>
  </w:style>
  <w:style w:type="character" w:customStyle="1" w:styleId="Policepardfaut4">
    <w:name w:val="Police par défaut4"/>
    <w:qFormat/>
    <w:rsid w:val="002877C6"/>
  </w:style>
  <w:style w:type="character" w:customStyle="1" w:styleId="WW8Num9z1">
    <w:name w:val="WW8Num9z1"/>
    <w:qFormat/>
    <w:rsid w:val="002877C6"/>
    <w:rPr>
      <w:rFonts w:ascii="Courier New" w:hAnsi="Courier New" w:cs="Courier New"/>
    </w:rPr>
  </w:style>
  <w:style w:type="character" w:customStyle="1" w:styleId="WW8Num9z2">
    <w:name w:val="WW8Num9z2"/>
    <w:qFormat/>
    <w:rsid w:val="002877C6"/>
    <w:rPr>
      <w:rFonts w:ascii="Wingdings" w:hAnsi="Wingdings" w:cs="Wingdings"/>
    </w:rPr>
  </w:style>
  <w:style w:type="character" w:customStyle="1" w:styleId="WW8Num10z1">
    <w:name w:val="WW8Num10z1"/>
    <w:qFormat/>
    <w:rsid w:val="002877C6"/>
  </w:style>
  <w:style w:type="character" w:customStyle="1" w:styleId="WW8Num10z2">
    <w:name w:val="WW8Num10z2"/>
    <w:qFormat/>
    <w:rsid w:val="002877C6"/>
  </w:style>
  <w:style w:type="character" w:customStyle="1" w:styleId="WW8Num10z3">
    <w:name w:val="WW8Num10z3"/>
    <w:qFormat/>
    <w:rsid w:val="002877C6"/>
  </w:style>
  <w:style w:type="character" w:customStyle="1" w:styleId="WW8Num10z4">
    <w:name w:val="WW8Num10z4"/>
    <w:qFormat/>
    <w:rsid w:val="002877C6"/>
  </w:style>
  <w:style w:type="character" w:customStyle="1" w:styleId="WW8Num10z5">
    <w:name w:val="WW8Num10z5"/>
    <w:qFormat/>
    <w:rsid w:val="002877C6"/>
  </w:style>
  <w:style w:type="character" w:customStyle="1" w:styleId="WW8Num10z6">
    <w:name w:val="WW8Num10z6"/>
    <w:qFormat/>
    <w:rsid w:val="002877C6"/>
  </w:style>
  <w:style w:type="character" w:customStyle="1" w:styleId="WW8Num10z7">
    <w:name w:val="WW8Num10z7"/>
    <w:qFormat/>
    <w:rsid w:val="002877C6"/>
  </w:style>
  <w:style w:type="character" w:customStyle="1" w:styleId="WW8Num10z8">
    <w:name w:val="WW8Num10z8"/>
    <w:qFormat/>
    <w:rsid w:val="002877C6"/>
  </w:style>
  <w:style w:type="character" w:customStyle="1" w:styleId="WW8Num11z1">
    <w:name w:val="WW8Num11z1"/>
    <w:qFormat/>
    <w:rsid w:val="002877C6"/>
  </w:style>
  <w:style w:type="character" w:customStyle="1" w:styleId="WW8Num11z2">
    <w:name w:val="WW8Num11z2"/>
    <w:qFormat/>
    <w:rsid w:val="002877C6"/>
  </w:style>
  <w:style w:type="character" w:customStyle="1" w:styleId="WW8Num11z3">
    <w:name w:val="WW8Num11z3"/>
    <w:qFormat/>
    <w:rsid w:val="002877C6"/>
  </w:style>
  <w:style w:type="character" w:customStyle="1" w:styleId="WW8Num11z4">
    <w:name w:val="WW8Num11z4"/>
    <w:qFormat/>
    <w:rsid w:val="002877C6"/>
  </w:style>
  <w:style w:type="character" w:customStyle="1" w:styleId="WW8Num11z5">
    <w:name w:val="WW8Num11z5"/>
    <w:qFormat/>
    <w:rsid w:val="002877C6"/>
  </w:style>
  <w:style w:type="character" w:customStyle="1" w:styleId="WW8Num11z6">
    <w:name w:val="WW8Num11z6"/>
    <w:qFormat/>
    <w:rsid w:val="002877C6"/>
  </w:style>
  <w:style w:type="character" w:customStyle="1" w:styleId="WW8Num11z7">
    <w:name w:val="WW8Num11z7"/>
    <w:qFormat/>
    <w:rsid w:val="002877C6"/>
  </w:style>
  <w:style w:type="character" w:customStyle="1" w:styleId="WW8Num11z8">
    <w:name w:val="WW8Num11z8"/>
    <w:qFormat/>
    <w:rsid w:val="002877C6"/>
  </w:style>
  <w:style w:type="character" w:customStyle="1" w:styleId="WW8Num12z3">
    <w:name w:val="WW8Num12z3"/>
    <w:qFormat/>
    <w:rsid w:val="002877C6"/>
  </w:style>
  <w:style w:type="character" w:customStyle="1" w:styleId="WW8Num12z5">
    <w:name w:val="WW8Num12z5"/>
    <w:qFormat/>
    <w:rsid w:val="002877C6"/>
  </w:style>
  <w:style w:type="character" w:customStyle="1" w:styleId="WW8Num12z6">
    <w:name w:val="WW8Num12z6"/>
    <w:qFormat/>
    <w:rsid w:val="002877C6"/>
  </w:style>
  <w:style w:type="character" w:customStyle="1" w:styleId="WW8Num12z7">
    <w:name w:val="WW8Num12z7"/>
    <w:qFormat/>
    <w:rsid w:val="002877C6"/>
  </w:style>
  <w:style w:type="character" w:customStyle="1" w:styleId="WW8Num12z8">
    <w:name w:val="WW8Num12z8"/>
    <w:qFormat/>
    <w:rsid w:val="002877C6"/>
  </w:style>
  <w:style w:type="character" w:customStyle="1" w:styleId="WW8Num14z3">
    <w:name w:val="WW8Num14z3"/>
    <w:qFormat/>
    <w:rsid w:val="002877C6"/>
  </w:style>
  <w:style w:type="character" w:customStyle="1" w:styleId="WW8Num14z4">
    <w:name w:val="WW8Num14z4"/>
    <w:qFormat/>
    <w:rsid w:val="002877C6"/>
  </w:style>
  <w:style w:type="character" w:customStyle="1" w:styleId="WW8Num14z5">
    <w:name w:val="WW8Num14z5"/>
    <w:qFormat/>
    <w:rsid w:val="002877C6"/>
  </w:style>
  <w:style w:type="character" w:customStyle="1" w:styleId="WW8Num14z6">
    <w:name w:val="WW8Num14z6"/>
    <w:qFormat/>
    <w:rsid w:val="002877C6"/>
  </w:style>
  <w:style w:type="character" w:customStyle="1" w:styleId="WW8Num14z7">
    <w:name w:val="WW8Num14z7"/>
    <w:qFormat/>
    <w:rsid w:val="002877C6"/>
  </w:style>
  <w:style w:type="character" w:customStyle="1" w:styleId="WW8Num14z8">
    <w:name w:val="WW8Num14z8"/>
    <w:qFormat/>
    <w:rsid w:val="002877C6"/>
  </w:style>
  <w:style w:type="character" w:customStyle="1" w:styleId="WW8Num15z2">
    <w:name w:val="WW8Num15z2"/>
    <w:qFormat/>
    <w:rsid w:val="002877C6"/>
    <w:rPr>
      <w:rFonts w:ascii="Wingdings" w:hAnsi="Wingdings" w:cs="Wingdings"/>
    </w:rPr>
  </w:style>
  <w:style w:type="character" w:customStyle="1" w:styleId="WW8Num17z3">
    <w:name w:val="WW8Num17z3"/>
    <w:qFormat/>
    <w:rsid w:val="002877C6"/>
  </w:style>
  <w:style w:type="character" w:customStyle="1" w:styleId="WW8Num17z4">
    <w:name w:val="WW8Num17z4"/>
    <w:qFormat/>
    <w:rsid w:val="002877C6"/>
  </w:style>
  <w:style w:type="character" w:customStyle="1" w:styleId="WW8Num17z5">
    <w:name w:val="WW8Num17z5"/>
    <w:qFormat/>
    <w:rsid w:val="002877C6"/>
  </w:style>
  <w:style w:type="character" w:customStyle="1" w:styleId="WW8Num17z6">
    <w:name w:val="WW8Num17z6"/>
    <w:qFormat/>
    <w:rsid w:val="002877C6"/>
  </w:style>
  <w:style w:type="character" w:customStyle="1" w:styleId="WW8Num17z7">
    <w:name w:val="WW8Num17z7"/>
    <w:qFormat/>
    <w:rsid w:val="002877C6"/>
  </w:style>
  <w:style w:type="character" w:customStyle="1" w:styleId="WW8Num17z8">
    <w:name w:val="WW8Num17z8"/>
    <w:qFormat/>
    <w:rsid w:val="002877C6"/>
  </w:style>
  <w:style w:type="character" w:customStyle="1" w:styleId="WW8Num18z3">
    <w:name w:val="WW8Num18z3"/>
    <w:qFormat/>
    <w:rsid w:val="002877C6"/>
  </w:style>
  <w:style w:type="character" w:customStyle="1" w:styleId="WW8Num18z4">
    <w:name w:val="WW8Num18z4"/>
    <w:qFormat/>
    <w:rsid w:val="002877C6"/>
  </w:style>
  <w:style w:type="character" w:customStyle="1" w:styleId="WW8Num18z5">
    <w:name w:val="WW8Num18z5"/>
    <w:qFormat/>
    <w:rsid w:val="002877C6"/>
  </w:style>
  <w:style w:type="character" w:customStyle="1" w:styleId="WW8Num18z6">
    <w:name w:val="WW8Num18z6"/>
    <w:qFormat/>
    <w:rsid w:val="002877C6"/>
  </w:style>
  <w:style w:type="character" w:customStyle="1" w:styleId="WW8Num18z7">
    <w:name w:val="WW8Num18z7"/>
    <w:qFormat/>
    <w:rsid w:val="002877C6"/>
  </w:style>
  <w:style w:type="character" w:customStyle="1" w:styleId="WW8Num18z8">
    <w:name w:val="WW8Num18z8"/>
    <w:qFormat/>
    <w:rsid w:val="002877C6"/>
  </w:style>
  <w:style w:type="character" w:customStyle="1" w:styleId="Policepardfaut3">
    <w:name w:val="Police par défaut3"/>
    <w:qFormat/>
    <w:rsid w:val="002877C6"/>
  </w:style>
  <w:style w:type="character" w:customStyle="1" w:styleId="Policepardfaut2">
    <w:name w:val="Police par défaut2"/>
    <w:qFormat/>
    <w:rsid w:val="002877C6"/>
  </w:style>
  <w:style w:type="character" w:customStyle="1" w:styleId="WW8Num19z1">
    <w:name w:val="WW8Num19z1"/>
    <w:qFormat/>
    <w:rsid w:val="002877C6"/>
    <w:rPr>
      <w:rFonts w:ascii="Courier New" w:hAnsi="Courier New" w:cs="Courier New"/>
    </w:rPr>
  </w:style>
  <w:style w:type="character" w:customStyle="1" w:styleId="WW8Num19z2">
    <w:name w:val="WW8Num19z2"/>
    <w:qFormat/>
    <w:rsid w:val="002877C6"/>
    <w:rPr>
      <w:rFonts w:ascii="Wingdings" w:hAnsi="Wingdings" w:cs="Wingdings"/>
    </w:rPr>
  </w:style>
  <w:style w:type="character" w:customStyle="1" w:styleId="WW8Num20z1">
    <w:name w:val="WW8Num20z1"/>
    <w:qFormat/>
    <w:rsid w:val="002877C6"/>
    <w:rPr>
      <w:rFonts w:ascii="Courier New" w:hAnsi="Courier New" w:cs="Courier New"/>
    </w:rPr>
  </w:style>
  <w:style w:type="character" w:customStyle="1" w:styleId="WW8Num20z2">
    <w:name w:val="WW8Num20z2"/>
    <w:qFormat/>
    <w:rsid w:val="002877C6"/>
    <w:rPr>
      <w:rFonts w:ascii="Wingdings" w:hAnsi="Wingdings" w:cs="Wingdings"/>
    </w:rPr>
  </w:style>
  <w:style w:type="character" w:customStyle="1" w:styleId="WW8Num24z3">
    <w:name w:val="WW8Num24z3"/>
    <w:qFormat/>
    <w:rsid w:val="002877C6"/>
    <w:rPr>
      <w:rFonts w:ascii="Symbol" w:hAnsi="Symbol" w:cs="Symbol"/>
    </w:rPr>
  </w:style>
  <w:style w:type="character" w:customStyle="1" w:styleId="WW8Num30z1">
    <w:name w:val="WW8Num30z1"/>
    <w:qFormat/>
    <w:rsid w:val="002877C6"/>
    <w:rPr>
      <w:rFonts w:ascii="Courier New" w:hAnsi="Courier New" w:cs="Courier New"/>
    </w:rPr>
  </w:style>
  <w:style w:type="character" w:customStyle="1" w:styleId="WW8Num30z2">
    <w:name w:val="WW8Num30z2"/>
    <w:qFormat/>
    <w:rsid w:val="002877C6"/>
    <w:rPr>
      <w:rFonts w:ascii="Wingdings" w:hAnsi="Wingdings" w:cs="Wingdings"/>
    </w:rPr>
  </w:style>
  <w:style w:type="character" w:customStyle="1" w:styleId="Policepardfaut1">
    <w:name w:val="Police par défaut1"/>
    <w:qFormat/>
    <w:rsid w:val="002877C6"/>
  </w:style>
  <w:style w:type="character" w:customStyle="1" w:styleId="Titre1Car">
    <w:name w:val="Titre 1 Car"/>
    <w:qFormat/>
    <w:rsid w:val="002877C6"/>
    <w:rPr>
      <w:rFonts w:ascii="Arial" w:hAnsi="Arial" w:cs="Arial"/>
      <w:b/>
      <w:bCs/>
      <w:caps/>
      <w:color w:val="3CB6EC"/>
      <w:kern w:val="2"/>
      <w:sz w:val="32"/>
      <w:szCs w:val="32"/>
      <w:lang w:val="x-none"/>
    </w:rPr>
  </w:style>
  <w:style w:type="character" w:customStyle="1" w:styleId="Titre2Car">
    <w:name w:val="Titre 2 Car"/>
    <w:qFormat/>
    <w:rsid w:val="002877C6"/>
    <w:rPr>
      <w:rFonts w:ascii="Arial" w:hAnsi="Arial" w:cs="Arial"/>
      <w:b/>
      <w:bCs/>
      <w:i/>
      <w:iCs/>
      <w:color w:val="00000A"/>
      <w:kern w:val="2"/>
      <w:sz w:val="20"/>
      <w:szCs w:val="20"/>
      <w:lang w:val="x-none"/>
    </w:rPr>
  </w:style>
  <w:style w:type="character" w:customStyle="1" w:styleId="PieddepageCar">
    <w:name w:val="Pied de page Car"/>
    <w:uiPriority w:val="99"/>
    <w:qFormat/>
    <w:rsid w:val="002877C6"/>
    <w:rPr>
      <w:rFonts w:ascii="Times New Roman" w:hAnsi="Times New Roman" w:cs="Times New Roman"/>
      <w:color w:val="00000A"/>
      <w:kern w:val="2"/>
      <w:sz w:val="24"/>
      <w:szCs w:val="24"/>
      <w:lang w:val="x-none"/>
    </w:rPr>
  </w:style>
  <w:style w:type="character" w:customStyle="1" w:styleId="En-tteCar">
    <w:name w:val="En-tête Car"/>
    <w:qFormat/>
    <w:rsid w:val="002877C6"/>
    <w:rPr>
      <w:rFonts w:ascii="Arial" w:hAnsi="Arial" w:cs="Arial"/>
      <w:color w:val="00000A"/>
      <w:kern w:val="2"/>
      <w:sz w:val="20"/>
      <w:szCs w:val="20"/>
      <w:lang w:val="x-none"/>
    </w:rPr>
  </w:style>
  <w:style w:type="character" w:customStyle="1" w:styleId="LienInternet">
    <w:name w:val="Lien Internet"/>
    <w:uiPriority w:val="99"/>
    <w:rPr>
      <w:rFonts w:cs="Times New Roman"/>
      <w:color w:val="0563C1"/>
      <w:u w:val="single"/>
    </w:rPr>
  </w:style>
  <w:style w:type="character" w:customStyle="1" w:styleId="Marquedecommentaire1">
    <w:name w:val="Marque de commentaire1"/>
    <w:qFormat/>
    <w:rsid w:val="002877C6"/>
    <w:rPr>
      <w:rFonts w:cs="Times New Roman"/>
      <w:sz w:val="16"/>
      <w:szCs w:val="16"/>
    </w:rPr>
  </w:style>
  <w:style w:type="character" w:customStyle="1" w:styleId="CommentaireCar">
    <w:name w:val="Commentaire Car"/>
    <w:qFormat/>
    <w:rsid w:val="002877C6"/>
    <w:rPr>
      <w:rFonts w:cs="Times New Roman"/>
      <w:sz w:val="20"/>
      <w:szCs w:val="20"/>
    </w:rPr>
  </w:style>
  <w:style w:type="character" w:customStyle="1" w:styleId="ObjetducommentaireCar">
    <w:name w:val="Objet du commentaire Car"/>
    <w:qFormat/>
    <w:rsid w:val="002877C6"/>
    <w:rPr>
      <w:rFonts w:cs="Times New Roman"/>
      <w:b/>
      <w:bCs/>
      <w:sz w:val="20"/>
      <w:szCs w:val="20"/>
    </w:rPr>
  </w:style>
  <w:style w:type="character" w:customStyle="1" w:styleId="TextedebullesCar">
    <w:name w:val="Texte de bulles Car"/>
    <w:qFormat/>
    <w:rsid w:val="002877C6"/>
    <w:rPr>
      <w:rFonts w:ascii="Segoe UI" w:hAnsi="Segoe UI" w:cs="Segoe UI"/>
      <w:sz w:val="18"/>
      <w:szCs w:val="18"/>
    </w:rPr>
  </w:style>
  <w:style w:type="character" w:customStyle="1" w:styleId="Marquedecommentaire2">
    <w:name w:val="Marque de commentaire2"/>
    <w:qFormat/>
    <w:rsid w:val="002877C6"/>
    <w:rPr>
      <w:sz w:val="16"/>
      <w:szCs w:val="16"/>
    </w:rPr>
  </w:style>
  <w:style w:type="character" w:customStyle="1" w:styleId="LienInternetvisit">
    <w:name w:val="Lien Internet visité"/>
    <w:rPr>
      <w:color w:val="954F72"/>
      <w:u w:val="single"/>
    </w:rPr>
  </w:style>
  <w:style w:type="character" w:customStyle="1" w:styleId="Sous-titreCar">
    <w:name w:val="Sous-titre Car"/>
    <w:qFormat/>
    <w:rsid w:val="002877C6"/>
    <w:rPr>
      <w:rFonts w:ascii="Calibri Light" w:eastAsia="Times New Roman" w:hAnsi="Calibri Light" w:cs="Times New Roman"/>
      <w:sz w:val="24"/>
      <w:szCs w:val="24"/>
    </w:rPr>
  </w:style>
  <w:style w:type="character" w:customStyle="1" w:styleId="NotedebasdepageCar">
    <w:name w:val="Note de bas de page Car"/>
    <w:qFormat/>
    <w:rsid w:val="002877C6"/>
    <w:rPr>
      <w:rFonts w:ascii="Calibri" w:hAnsi="Calibri" w:cs="Calibri"/>
    </w:rPr>
  </w:style>
  <w:style w:type="character" w:customStyle="1" w:styleId="Caractresdenotedebasdepage">
    <w:name w:val="Caractères de note de bas de page"/>
    <w:qFormat/>
    <w:rsid w:val="002877C6"/>
    <w:rPr>
      <w:vertAlign w:val="superscript"/>
    </w:rPr>
  </w:style>
  <w:style w:type="character" w:customStyle="1" w:styleId="PrformatHTMLCar">
    <w:name w:val="Préformaté HTML Car"/>
    <w:qFormat/>
    <w:rsid w:val="002877C6"/>
    <w:rPr>
      <w:rFonts w:ascii="Courier New" w:hAnsi="Courier New" w:cs="Courier New"/>
    </w:rPr>
  </w:style>
  <w:style w:type="character" w:styleId="lev">
    <w:name w:val="Strong"/>
    <w:qFormat/>
    <w:rPr>
      <w:b/>
      <w:bCs/>
    </w:rPr>
  </w:style>
  <w:style w:type="character" w:customStyle="1" w:styleId="Puces">
    <w:name w:val="Puces"/>
    <w:qFormat/>
    <w:rsid w:val="002877C6"/>
    <w:rPr>
      <w:rFonts w:ascii="OpenSymbol" w:eastAsia="OpenSymbol" w:hAnsi="OpenSymbol" w:cs="OpenSymbol"/>
    </w:rPr>
  </w:style>
  <w:style w:type="character" w:customStyle="1" w:styleId="Appelnotedebasdep1">
    <w:name w:val="Appel note de bas de p.1"/>
    <w:qFormat/>
    <w:rsid w:val="002877C6"/>
    <w:rPr>
      <w:vertAlign w:val="superscript"/>
    </w:rPr>
  </w:style>
  <w:style w:type="character" w:customStyle="1" w:styleId="Appelnotedebasdep2">
    <w:name w:val="Appel note de bas de p.2"/>
    <w:qFormat/>
    <w:rsid w:val="002877C6"/>
    <w:rPr>
      <w:vertAlign w:val="superscript"/>
    </w:rPr>
  </w:style>
  <w:style w:type="character" w:customStyle="1" w:styleId="Caractresdenotedefin">
    <w:name w:val="Caractères de note de fin"/>
    <w:qFormat/>
    <w:rsid w:val="002877C6"/>
    <w:rPr>
      <w:vertAlign w:val="superscript"/>
    </w:rPr>
  </w:style>
  <w:style w:type="character" w:customStyle="1" w:styleId="WW-Caractresdenotedefin">
    <w:name w:val="WW-Caractères de note de fin"/>
    <w:qFormat/>
    <w:rsid w:val="002877C6"/>
  </w:style>
  <w:style w:type="character" w:customStyle="1" w:styleId="Caractresdenumrotation">
    <w:name w:val="Caractères de numérotation"/>
    <w:qFormat/>
    <w:rsid w:val="002877C6"/>
  </w:style>
  <w:style w:type="character" w:customStyle="1" w:styleId="highlight">
    <w:name w:val="highlight"/>
    <w:qFormat/>
    <w:rsid w:val="002877C6"/>
  </w:style>
  <w:style w:type="character" w:customStyle="1" w:styleId="Marquedecommentaire3">
    <w:name w:val="Marque de commentaire3"/>
    <w:qFormat/>
    <w:rsid w:val="002877C6"/>
    <w:rPr>
      <w:sz w:val="16"/>
      <w:szCs w:val="16"/>
    </w:rPr>
  </w:style>
  <w:style w:type="character" w:customStyle="1" w:styleId="CarCar">
    <w:name w:val="Car Car"/>
    <w:qFormat/>
    <w:rsid w:val="002877C6"/>
    <w:rPr>
      <w:rFonts w:ascii="Calibri" w:hAnsi="Calibri" w:cs="Calibri"/>
      <w:lang w:eastAsia="zh-CN"/>
    </w:rPr>
  </w:style>
  <w:style w:type="character" w:customStyle="1" w:styleId="Appelnotedebasdep3">
    <w:name w:val="Appel note de bas de p.3"/>
    <w:qFormat/>
    <w:rsid w:val="002877C6"/>
    <w:rPr>
      <w:vertAlign w:val="superscript"/>
    </w:rPr>
  </w:style>
  <w:style w:type="character" w:customStyle="1" w:styleId="Appeldenotedefin1">
    <w:name w:val="Appel de note de fin1"/>
    <w:qFormat/>
    <w:rsid w:val="002877C6"/>
    <w:rPr>
      <w:vertAlign w:val="superscript"/>
    </w:rPr>
  </w:style>
  <w:style w:type="character" w:customStyle="1" w:styleId="Marquedecommentaire4">
    <w:name w:val="Marque de commentaire4"/>
    <w:qFormat/>
    <w:rsid w:val="002877C6"/>
    <w:rPr>
      <w:sz w:val="16"/>
      <w:szCs w:val="16"/>
    </w:rPr>
  </w:style>
  <w:style w:type="character" w:customStyle="1" w:styleId="CommentaireCar1">
    <w:name w:val="Commentaire Car1"/>
    <w:qFormat/>
    <w:rsid w:val="002877C6"/>
    <w:rPr>
      <w:rFonts w:ascii="Calibri" w:hAnsi="Calibri" w:cs="Calibri"/>
      <w:lang w:eastAsia="zh-CN"/>
    </w:rPr>
  </w:style>
  <w:style w:type="character" w:customStyle="1" w:styleId="Appelnotedebasdep4">
    <w:name w:val="Appel note de bas de p.4"/>
    <w:qFormat/>
    <w:rsid w:val="002877C6"/>
    <w:rPr>
      <w:vertAlign w:val="superscript"/>
    </w:rPr>
  </w:style>
  <w:style w:type="character" w:customStyle="1" w:styleId="Appeldenotedefin2">
    <w:name w:val="Appel de note de fin2"/>
    <w:qFormat/>
    <w:rsid w:val="002877C6"/>
    <w:rPr>
      <w:vertAlign w:val="superscript"/>
    </w:rPr>
  </w:style>
  <w:style w:type="character" w:customStyle="1" w:styleId="Appelnotedebasdep5">
    <w:name w:val="Appel note de bas de p.5"/>
    <w:qFormat/>
    <w:rsid w:val="002877C6"/>
    <w:rPr>
      <w:vertAlign w:val="superscript"/>
    </w:rPr>
  </w:style>
  <w:style w:type="character" w:customStyle="1" w:styleId="Appeldenotedefin3">
    <w:name w:val="Appel de note de fin3"/>
    <w:qFormat/>
    <w:rsid w:val="002877C6"/>
    <w:rPr>
      <w:vertAlign w:val="superscript"/>
    </w:rPr>
  </w:style>
  <w:style w:type="character" w:customStyle="1" w:styleId="Marquedecommentaire5">
    <w:name w:val="Marque de commentaire5"/>
    <w:qFormat/>
    <w:rsid w:val="002877C6"/>
    <w:rPr>
      <w:sz w:val="16"/>
      <w:szCs w:val="16"/>
    </w:rPr>
  </w:style>
  <w:style w:type="character" w:customStyle="1" w:styleId="CommentaireCar2">
    <w:name w:val="Commentaire Car2"/>
    <w:qFormat/>
    <w:rsid w:val="002877C6"/>
    <w:rPr>
      <w:rFonts w:ascii="Calibri" w:hAnsi="Calibri" w:cs="Calibri"/>
      <w:lang w:val="fr-FR" w:eastAsia="zh-CN"/>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styleId="Marquedecommentaire">
    <w:name w:val="annotation reference"/>
    <w:uiPriority w:val="99"/>
    <w:semiHidden/>
    <w:unhideWhenUsed/>
    <w:qFormat/>
    <w:rsid w:val="002877C6"/>
    <w:rPr>
      <w:sz w:val="16"/>
      <w:szCs w:val="16"/>
    </w:rPr>
  </w:style>
  <w:style w:type="character" w:customStyle="1" w:styleId="CommentaireCar3">
    <w:name w:val="Commentaire Car3"/>
    <w:link w:val="Commentaire"/>
    <w:uiPriority w:val="99"/>
    <w:semiHidden/>
    <w:qFormat/>
    <w:rsid w:val="009A0597"/>
    <w:rPr>
      <w:rFonts w:ascii="Calibri" w:hAnsi="Calibri" w:cs="Calibri"/>
      <w:lang w:eastAsia="zh-CN"/>
    </w:rPr>
  </w:style>
  <w:style w:type="character" w:styleId="Mentionnonrsolue">
    <w:name w:val="Unresolved Mention"/>
    <w:basedOn w:val="Policepardfaut"/>
    <w:uiPriority w:val="99"/>
    <w:semiHidden/>
    <w:unhideWhenUsed/>
    <w:qFormat/>
    <w:rsid w:val="002877C6"/>
    <w:rPr>
      <w:color w:val="605E5C"/>
      <w:shd w:val="clear" w:color="auto" w:fill="E1DFDD"/>
    </w:rPr>
  </w:style>
  <w:style w:type="character" w:customStyle="1" w:styleId="Sautdindex">
    <w:name w:val="Saut d'index"/>
    <w:qFormat/>
  </w:style>
  <w:style w:type="character" w:customStyle="1" w:styleId="Numrotationdelignes">
    <w:name w:val="Numérotation de lignes"/>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rsid w:val="002877C6"/>
    <w:pPr>
      <w:suppressLineNumbers/>
    </w:pPr>
    <w:rPr>
      <w:rFonts w:cs="Mangal"/>
    </w:rPr>
  </w:style>
  <w:style w:type="paragraph" w:customStyle="1" w:styleId="Titre7">
    <w:name w:val="Titre7"/>
    <w:basedOn w:val="Normal"/>
    <w:next w:val="Corpsdetexte"/>
    <w:qFormat/>
    <w:rsid w:val="002877C6"/>
    <w:pPr>
      <w:keepNext/>
      <w:spacing w:before="240" w:after="120"/>
    </w:pPr>
    <w:rPr>
      <w:rFonts w:ascii="Liberation Sans" w:eastAsia="Microsoft YaHei" w:hAnsi="Liberation Sans" w:cs="Lucida Sans"/>
      <w:sz w:val="28"/>
      <w:szCs w:val="28"/>
    </w:rPr>
  </w:style>
  <w:style w:type="paragraph" w:customStyle="1" w:styleId="WW-Standard">
    <w:name w:val="WW-Standard"/>
    <w:qFormat/>
    <w:rsid w:val="002877C6"/>
    <w:pPr>
      <w:spacing w:after="60"/>
      <w:jc w:val="both"/>
      <w:textAlignment w:val="baseline"/>
    </w:pPr>
    <w:rPr>
      <w:rFonts w:ascii="Arial" w:hAnsi="Arial" w:cs="Arial"/>
      <w:color w:val="00000A"/>
      <w:kern w:val="2"/>
      <w:sz w:val="22"/>
      <w:lang w:eastAsia="zh-CN"/>
    </w:rPr>
  </w:style>
  <w:style w:type="paragraph" w:customStyle="1" w:styleId="Titre6">
    <w:name w:val="Titre6"/>
    <w:basedOn w:val="Normal"/>
    <w:next w:val="Corpsdetexte"/>
    <w:qFormat/>
    <w:rsid w:val="002877C6"/>
    <w:pPr>
      <w:keepNext/>
      <w:spacing w:before="240" w:after="120"/>
    </w:pPr>
    <w:rPr>
      <w:rFonts w:ascii="Liberation Sans" w:eastAsia="Microsoft YaHei" w:hAnsi="Liberation Sans" w:cs="Lucida Sans"/>
      <w:sz w:val="28"/>
      <w:szCs w:val="28"/>
    </w:rPr>
  </w:style>
  <w:style w:type="paragraph" w:customStyle="1" w:styleId="Titre5">
    <w:name w:val="Titre5"/>
    <w:basedOn w:val="Normal"/>
    <w:next w:val="Corpsdetexte"/>
    <w:qFormat/>
    <w:rsid w:val="002877C6"/>
    <w:pPr>
      <w:keepNext/>
      <w:spacing w:before="240" w:after="120"/>
    </w:pPr>
    <w:rPr>
      <w:rFonts w:ascii="Liberation Sans" w:eastAsia="Microsoft YaHei" w:hAnsi="Liberation Sans" w:cs="Lucida Sans"/>
      <w:sz w:val="28"/>
      <w:szCs w:val="28"/>
    </w:rPr>
  </w:style>
  <w:style w:type="paragraph" w:customStyle="1" w:styleId="Titre4">
    <w:name w:val="Titre4"/>
    <w:basedOn w:val="Normal"/>
    <w:next w:val="Corpsdetexte"/>
    <w:qFormat/>
    <w:rsid w:val="002877C6"/>
    <w:pPr>
      <w:keepNext/>
      <w:spacing w:before="240" w:after="120"/>
    </w:pPr>
    <w:rPr>
      <w:rFonts w:ascii="Liberation Sans" w:eastAsia="Microsoft YaHei" w:hAnsi="Liberation Sans" w:cs="Mangal"/>
      <w:sz w:val="28"/>
      <w:szCs w:val="28"/>
    </w:rPr>
  </w:style>
  <w:style w:type="paragraph" w:customStyle="1" w:styleId="Titre3">
    <w:name w:val="Titre3"/>
    <w:basedOn w:val="Normal"/>
    <w:next w:val="Corpsdetexte"/>
    <w:qFormat/>
    <w:rsid w:val="002877C6"/>
    <w:pPr>
      <w:keepNext/>
      <w:spacing w:before="240" w:after="120"/>
    </w:pPr>
    <w:rPr>
      <w:rFonts w:ascii="Liberation Sans" w:eastAsia="Microsoft YaHei" w:hAnsi="Liberation Sans" w:cs="Mangal"/>
      <w:sz w:val="28"/>
      <w:szCs w:val="28"/>
    </w:rPr>
  </w:style>
  <w:style w:type="paragraph" w:customStyle="1" w:styleId="Titre20">
    <w:name w:val="Titre2"/>
    <w:basedOn w:val="Normal"/>
    <w:next w:val="Corpsdetexte"/>
    <w:qFormat/>
    <w:rsid w:val="002877C6"/>
    <w:pPr>
      <w:keepNext/>
      <w:spacing w:before="240" w:after="120"/>
    </w:pPr>
    <w:rPr>
      <w:rFonts w:ascii="Liberation Sans" w:eastAsia="Microsoft YaHei" w:hAnsi="Liberation Sans" w:cs="Mangal"/>
      <w:sz w:val="28"/>
      <w:szCs w:val="28"/>
    </w:rPr>
  </w:style>
  <w:style w:type="paragraph" w:customStyle="1" w:styleId="Lgende1">
    <w:name w:val="Légende1"/>
    <w:basedOn w:val="Normal"/>
    <w:qFormat/>
    <w:rsid w:val="002877C6"/>
    <w:pPr>
      <w:suppressLineNumbers/>
      <w:spacing w:before="120" w:after="120"/>
    </w:pPr>
    <w:rPr>
      <w:rFonts w:cs="Mangal"/>
      <w:i/>
      <w:iCs/>
      <w:sz w:val="24"/>
      <w:szCs w:val="24"/>
    </w:rPr>
  </w:style>
  <w:style w:type="paragraph" w:customStyle="1" w:styleId="Titre10">
    <w:name w:val="Titre1"/>
    <w:basedOn w:val="Normal"/>
    <w:next w:val="Corpsdetexte"/>
    <w:qFormat/>
    <w:rsid w:val="002877C6"/>
    <w:pPr>
      <w:keepNext/>
      <w:spacing w:before="240" w:after="120"/>
    </w:pPr>
    <w:rPr>
      <w:rFonts w:ascii="Liberation Sans" w:eastAsia="Microsoft YaHei" w:hAnsi="Liberation Sans" w:cs="Mangal"/>
      <w:sz w:val="28"/>
      <w:szCs w:val="28"/>
    </w:rPr>
  </w:style>
  <w:style w:type="paragraph" w:customStyle="1" w:styleId="En-ttedetabledesmatires11">
    <w:name w:val="En-tête de table des matières11"/>
    <w:basedOn w:val="WW-Standard"/>
    <w:qFormat/>
    <w:rsid w:val="002877C6"/>
    <w:pPr>
      <w:keepLines/>
      <w:spacing w:before="480" w:after="0" w:line="276" w:lineRule="auto"/>
    </w:pPr>
    <w:rPr>
      <w:rFonts w:ascii="Cambria" w:hAnsi="Cambria" w:cs="Cambria"/>
      <w:color w:val="365F91"/>
      <w:sz w:val="28"/>
      <w:szCs w:val="28"/>
    </w:rPr>
  </w:style>
  <w:style w:type="paragraph" w:customStyle="1" w:styleId="En-tteetpieddepage">
    <w:name w:val="En-tête et pied de page"/>
    <w:basedOn w:val="Normal"/>
    <w:qFormat/>
  </w:style>
  <w:style w:type="paragraph" w:styleId="Pieddepage">
    <w:name w:val="footer"/>
    <w:basedOn w:val="WW-Standard"/>
    <w:uiPriority w:val="99"/>
    <w:pPr>
      <w:tabs>
        <w:tab w:val="center" w:pos="4536"/>
        <w:tab w:val="right" w:pos="9072"/>
      </w:tabs>
    </w:pPr>
    <w:rPr>
      <w:rFonts w:ascii="Times New Roman" w:hAnsi="Times New Roman" w:cs="Times New Roman"/>
      <w:sz w:val="24"/>
      <w:szCs w:val="24"/>
    </w:rPr>
  </w:style>
  <w:style w:type="paragraph" w:customStyle="1" w:styleId="Contents2">
    <w:name w:val="Contents 2"/>
    <w:basedOn w:val="WW-Standard"/>
    <w:qFormat/>
    <w:rsid w:val="002877C6"/>
    <w:pPr>
      <w:ind w:left="240"/>
    </w:pPr>
    <w:rPr>
      <w:smallCaps/>
      <w:sz w:val="20"/>
    </w:rPr>
  </w:style>
  <w:style w:type="paragraph" w:styleId="En-tte">
    <w:name w:val="header"/>
    <w:basedOn w:val="WW-Standard"/>
    <w:pPr>
      <w:tabs>
        <w:tab w:val="center" w:pos="4536"/>
        <w:tab w:val="right" w:pos="9072"/>
      </w:tabs>
    </w:pPr>
  </w:style>
  <w:style w:type="paragraph" w:customStyle="1" w:styleId="Contents1">
    <w:name w:val="Contents 1"/>
    <w:basedOn w:val="WW-Standard"/>
    <w:qFormat/>
    <w:rsid w:val="002877C6"/>
    <w:pPr>
      <w:spacing w:before="120" w:after="120"/>
    </w:pPr>
    <w:rPr>
      <w:b/>
      <w:bCs/>
      <w:caps/>
      <w:sz w:val="20"/>
    </w:rPr>
  </w:style>
  <w:style w:type="paragraph" w:customStyle="1" w:styleId="En-ttedetabledesmatires1">
    <w:name w:val="En-tête de table des matières1"/>
    <w:basedOn w:val="WW-Standard"/>
    <w:qFormat/>
    <w:rsid w:val="002877C6"/>
    <w:pPr>
      <w:keepLines/>
      <w:spacing w:before="480" w:after="0" w:line="276" w:lineRule="auto"/>
    </w:pPr>
    <w:rPr>
      <w:rFonts w:ascii="Cambria" w:hAnsi="Cambria" w:cs="Cambria"/>
      <w:color w:val="365F91"/>
      <w:sz w:val="28"/>
      <w:szCs w:val="28"/>
    </w:rPr>
  </w:style>
  <w:style w:type="paragraph" w:customStyle="1" w:styleId="ListParagraph1">
    <w:name w:val="List Paragraph1"/>
    <w:basedOn w:val="Normal"/>
    <w:qFormat/>
    <w:rsid w:val="002877C6"/>
    <w:pPr>
      <w:ind w:left="720"/>
    </w:pPr>
  </w:style>
  <w:style w:type="paragraph" w:customStyle="1" w:styleId="Puce">
    <w:name w:val="Puce"/>
    <w:basedOn w:val="ListParagraph1"/>
    <w:qFormat/>
    <w:rsid w:val="002877C6"/>
    <w:pPr>
      <w:numPr>
        <w:numId w:val="2"/>
      </w:numPr>
      <w:spacing w:before="60" w:after="0" w:line="240" w:lineRule="auto"/>
      <w:jc w:val="both"/>
      <w:textAlignment w:val="baseline"/>
    </w:pPr>
    <w:rPr>
      <w:rFonts w:ascii="Arial" w:hAnsi="Arial" w:cs="Arial"/>
      <w:color w:val="00000A"/>
      <w:kern w:val="2"/>
    </w:rPr>
  </w:style>
  <w:style w:type="paragraph" w:customStyle="1" w:styleId="Textbody">
    <w:name w:val="Text body"/>
    <w:basedOn w:val="WW-Standard"/>
    <w:qFormat/>
    <w:rsid w:val="002877C6"/>
    <w:pPr>
      <w:spacing w:after="120" w:line="288" w:lineRule="auto"/>
    </w:pPr>
  </w:style>
  <w:style w:type="paragraph" w:customStyle="1" w:styleId="western">
    <w:name w:val="western"/>
    <w:basedOn w:val="WW-Standard"/>
    <w:qFormat/>
    <w:pPr>
      <w:suppressAutoHyphens w:val="0"/>
      <w:spacing w:before="119" w:after="119"/>
    </w:pPr>
    <w:rPr>
      <w:rFonts w:ascii="Liberation Sans" w:hAnsi="Liberation Sans" w:cs="Liberation Sans"/>
      <w:color w:val="000000"/>
      <w:szCs w:val="22"/>
    </w:rPr>
  </w:style>
  <w:style w:type="paragraph" w:styleId="TM1">
    <w:name w:val="toc 1"/>
    <w:basedOn w:val="Normal"/>
    <w:next w:val="Normal"/>
    <w:uiPriority w:val="39"/>
    <w:pPr>
      <w:spacing w:after="100"/>
    </w:pPr>
  </w:style>
  <w:style w:type="paragraph" w:styleId="TM2">
    <w:name w:val="toc 2"/>
    <w:basedOn w:val="Normal"/>
    <w:next w:val="Normal"/>
    <w:uiPriority w:val="39"/>
    <w:pPr>
      <w:spacing w:after="100"/>
      <w:ind w:left="220"/>
    </w:pPr>
  </w:style>
  <w:style w:type="paragraph" w:customStyle="1" w:styleId="Commentaire1">
    <w:name w:val="Commentaire1"/>
    <w:basedOn w:val="Normal"/>
    <w:qFormat/>
    <w:rsid w:val="002877C6"/>
    <w:pPr>
      <w:spacing w:line="240" w:lineRule="auto"/>
    </w:pPr>
    <w:rPr>
      <w:sz w:val="20"/>
      <w:szCs w:val="20"/>
    </w:rPr>
  </w:style>
  <w:style w:type="paragraph" w:styleId="Objetducommentaire">
    <w:name w:val="annotation subject"/>
    <w:basedOn w:val="Commentaire1"/>
    <w:next w:val="Commentaire1"/>
    <w:qFormat/>
    <w:rsid w:val="002877C6"/>
    <w:rPr>
      <w:b/>
      <w:bCs/>
    </w:rPr>
  </w:style>
  <w:style w:type="paragraph" w:styleId="Textedebulles">
    <w:name w:val="Balloon Text"/>
    <w:basedOn w:val="Normal"/>
    <w:qFormat/>
    <w:rsid w:val="002877C6"/>
    <w:pPr>
      <w:spacing w:after="0" w:line="240" w:lineRule="auto"/>
    </w:pPr>
    <w:rPr>
      <w:rFonts w:ascii="Segoe UI" w:hAnsi="Segoe UI" w:cs="Segoe UI"/>
      <w:sz w:val="18"/>
      <w:szCs w:val="18"/>
    </w:rPr>
  </w:style>
  <w:style w:type="paragraph" w:customStyle="1" w:styleId="Contenudetableau">
    <w:name w:val="Contenu de tableau"/>
    <w:basedOn w:val="Normal"/>
    <w:qFormat/>
    <w:rsid w:val="002877C6"/>
    <w:pPr>
      <w:suppressLineNumbers/>
    </w:pPr>
  </w:style>
  <w:style w:type="paragraph" w:customStyle="1" w:styleId="Titredetableau">
    <w:name w:val="Titre de tableau"/>
    <w:basedOn w:val="Contenudetableau"/>
    <w:qFormat/>
    <w:rsid w:val="002877C6"/>
    <w:pPr>
      <w:jc w:val="center"/>
    </w:pPr>
    <w:rPr>
      <w:b/>
      <w:bCs/>
    </w:rPr>
  </w:style>
  <w:style w:type="paragraph" w:customStyle="1" w:styleId="Commentaire2">
    <w:name w:val="Commentaire2"/>
    <w:basedOn w:val="Normal"/>
    <w:qFormat/>
    <w:rsid w:val="002877C6"/>
    <w:rPr>
      <w:sz w:val="20"/>
      <w:szCs w:val="20"/>
    </w:rPr>
  </w:style>
  <w:style w:type="paragraph" w:styleId="Sous-titre">
    <w:name w:val="Subtitle"/>
    <w:basedOn w:val="Normal"/>
    <w:next w:val="Normal"/>
    <w:qFormat/>
    <w:pPr>
      <w:spacing w:after="60"/>
      <w:jc w:val="center"/>
    </w:pPr>
    <w:rPr>
      <w:rFonts w:ascii="Calibri Light" w:hAnsi="Calibri Light" w:cs="Times New Roman"/>
      <w:sz w:val="24"/>
      <w:szCs w:val="24"/>
    </w:rPr>
  </w:style>
  <w:style w:type="paragraph" w:styleId="Notedebasdepage">
    <w:name w:val="footnote text"/>
    <w:basedOn w:val="Normal"/>
    <w:rPr>
      <w:sz w:val="20"/>
      <w:szCs w:val="20"/>
    </w:rPr>
  </w:style>
  <w:style w:type="paragraph" w:styleId="PrformatHTML">
    <w:name w:val="HTML Preformatted"/>
    <w:basedOn w:val="Normal"/>
    <w:qFormat/>
    <w:rsid w:val="00287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paragraph" w:styleId="TM3">
    <w:name w:val="toc 3"/>
    <w:basedOn w:val="Index"/>
    <w:pPr>
      <w:tabs>
        <w:tab w:val="right" w:leader="dot" w:pos="9072"/>
      </w:tabs>
      <w:ind w:left="566"/>
    </w:pPr>
  </w:style>
  <w:style w:type="paragraph" w:styleId="TM4">
    <w:name w:val="toc 4"/>
    <w:basedOn w:val="Index"/>
    <w:pPr>
      <w:tabs>
        <w:tab w:val="right" w:leader="dot" w:pos="8789"/>
      </w:tabs>
      <w:ind w:left="849"/>
    </w:pPr>
  </w:style>
  <w:style w:type="paragraph" w:styleId="TM5">
    <w:name w:val="toc 5"/>
    <w:basedOn w:val="Index"/>
    <w:pPr>
      <w:tabs>
        <w:tab w:val="right" w:leader="dot" w:pos="8506"/>
      </w:tabs>
      <w:ind w:left="1132"/>
    </w:pPr>
  </w:style>
  <w:style w:type="paragraph" w:styleId="TM6">
    <w:name w:val="toc 6"/>
    <w:basedOn w:val="Index"/>
    <w:pPr>
      <w:tabs>
        <w:tab w:val="right" w:leader="dot" w:pos="8223"/>
      </w:tabs>
      <w:ind w:left="1415"/>
    </w:pPr>
  </w:style>
  <w:style w:type="paragraph" w:styleId="TM7">
    <w:name w:val="toc 7"/>
    <w:basedOn w:val="Index"/>
    <w:pPr>
      <w:tabs>
        <w:tab w:val="right" w:leader="dot" w:pos="7940"/>
      </w:tabs>
      <w:ind w:left="1698"/>
    </w:pPr>
  </w:style>
  <w:style w:type="paragraph" w:styleId="TM8">
    <w:name w:val="toc 8"/>
    <w:basedOn w:val="Index"/>
    <w:pPr>
      <w:tabs>
        <w:tab w:val="right" w:leader="dot" w:pos="7657"/>
      </w:tabs>
      <w:ind w:left="1981"/>
    </w:pPr>
  </w:style>
  <w:style w:type="paragraph" w:styleId="TM9">
    <w:name w:val="toc 9"/>
    <w:basedOn w:val="Index"/>
    <w:pPr>
      <w:tabs>
        <w:tab w:val="right" w:leader="dot" w:pos="7374"/>
      </w:tabs>
      <w:ind w:left="2264"/>
    </w:pPr>
  </w:style>
  <w:style w:type="paragraph" w:customStyle="1" w:styleId="Tabledesmatiresniveau10">
    <w:name w:val="Table des matières niveau 10"/>
    <w:basedOn w:val="Index"/>
    <w:qFormat/>
    <w:rsid w:val="002877C6"/>
    <w:pPr>
      <w:tabs>
        <w:tab w:val="right" w:leader="dot" w:pos="7091"/>
      </w:tabs>
      <w:ind w:left="2547"/>
    </w:pPr>
  </w:style>
  <w:style w:type="paragraph" w:styleId="Paragraphedeliste">
    <w:name w:val="List Paragraph"/>
    <w:basedOn w:val="Normal"/>
    <w:qFormat/>
    <w:pPr>
      <w:suppressAutoHyphens w:val="0"/>
      <w:ind w:left="720"/>
      <w:contextualSpacing/>
    </w:pPr>
    <w:rPr>
      <w:rFonts w:eastAsia="Calibri" w:cs="Times New Roman"/>
    </w:rPr>
  </w:style>
  <w:style w:type="paragraph" w:customStyle="1" w:styleId="Commentaire3">
    <w:name w:val="Commentaire3"/>
    <w:basedOn w:val="Normal"/>
    <w:qFormat/>
    <w:rsid w:val="002877C6"/>
    <w:rPr>
      <w:sz w:val="20"/>
      <w:szCs w:val="20"/>
    </w:rPr>
  </w:style>
  <w:style w:type="paragraph" w:styleId="NormalWeb">
    <w:name w:val="Normal (Web)"/>
    <w:basedOn w:val="Normal"/>
    <w:qFormat/>
    <w:rsid w:val="002877C6"/>
    <w:pPr>
      <w:suppressAutoHyphens w:val="0"/>
      <w:spacing w:before="280" w:after="142" w:line="288" w:lineRule="auto"/>
    </w:pPr>
    <w:rPr>
      <w:rFonts w:ascii="Times New Roman" w:hAnsi="Times New Roman" w:cs="Times New Roman"/>
      <w:sz w:val="24"/>
      <w:szCs w:val="24"/>
    </w:rPr>
  </w:style>
  <w:style w:type="paragraph" w:customStyle="1" w:styleId="Commentaire4">
    <w:name w:val="Commentaire4"/>
    <w:basedOn w:val="Normal"/>
    <w:qFormat/>
    <w:rsid w:val="002877C6"/>
    <w:rPr>
      <w:sz w:val="20"/>
      <w:szCs w:val="20"/>
    </w:rPr>
  </w:style>
  <w:style w:type="paragraph" w:customStyle="1" w:styleId="Commentaire5">
    <w:name w:val="Commentaire5"/>
    <w:basedOn w:val="Normal"/>
    <w:qFormat/>
    <w:rsid w:val="002877C6"/>
    <w:rPr>
      <w:sz w:val="20"/>
      <w:szCs w:val="20"/>
    </w:rPr>
  </w:style>
  <w:style w:type="paragraph" w:styleId="Commentaire">
    <w:name w:val="annotation text"/>
    <w:basedOn w:val="Normal"/>
    <w:link w:val="CommentaireCar3"/>
    <w:uiPriority w:val="99"/>
    <w:semiHidden/>
    <w:unhideWhenUsed/>
    <w:qFormat/>
    <w:rsid w:val="002877C6"/>
    <w:rPr>
      <w:sz w:val="20"/>
      <w:szCs w:val="20"/>
    </w:rPr>
  </w:style>
  <w:style w:type="paragraph" w:styleId="Rvision">
    <w:name w:val="Revision"/>
    <w:uiPriority w:val="99"/>
    <w:semiHidden/>
    <w:qFormat/>
    <w:rsid w:val="002877C6"/>
    <w:rPr>
      <w:rFonts w:ascii="Calibri" w:hAnsi="Calibri" w:cs="Calibri"/>
      <w:sz w:val="22"/>
      <w:szCs w:val="22"/>
      <w:lang w:eastAsia="zh-CN"/>
    </w:rPr>
  </w:style>
  <w:style w:type="character" w:styleId="Lienhypertexte">
    <w:name w:val="Hyperlink"/>
    <w:uiPriority w:val="99"/>
    <w:rsid w:val="002877C6"/>
    <w:rPr>
      <w:rFonts w:cs="Times New Roman"/>
      <w:color w:val="0563C1"/>
      <w:u w:val="single"/>
    </w:rPr>
  </w:style>
  <w:style w:type="character" w:styleId="Lienhypertextesuivivisit">
    <w:name w:val="FollowedHyperlink"/>
    <w:rsid w:val="002877C6"/>
    <w:rPr>
      <w:color w:val="954F72"/>
      <w:u w:val="single"/>
    </w:rPr>
  </w:style>
  <w:style w:type="character" w:styleId="Appelnotedebasdep">
    <w:name w:val="footnote reference"/>
    <w:rsid w:val="002877C6"/>
    <w:rPr>
      <w:vertAlign w:val="superscript"/>
    </w:rPr>
  </w:style>
  <w:style w:type="character" w:styleId="Appeldenotedefin">
    <w:name w:val="endnote reference"/>
    <w:rsid w:val="00287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6106">
      <w:bodyDiv w:val="1"/>
      <w:marLeft w:val="0"/>
      <w:marRight w:val="0"/>
      <w:marTop w:val="0"/>
      <w:marBottom w:val="0"/>
      <w:divBdr>
        <w:top w:val="none" w:sz="0" w:space="0" w:color="auto"/>
        <w:left w:val="none" w:sz="0" w:space="0" w:color="auto"/>
        <w:bottom w:val="none" w:sz="0" w:space="0" w:color="auto"/>
        <w:right w:val="none" w:sz="0" w:space="0" w:color="auto"/>
      </w:divBdr>
    </w:div>
    <w:div w:id="479468498">
      <w:bodyDiv w:val="1"/>
      <w:marLeft w:val="0"/>
      <w:marRight w:val="0"/>
      <w:marTop w:val="0"/>
      <w:marBottom w:val="0"/>
      <w:divBdr>
        <w:top w:val="none" w:sz="0" w:space="0" w:color="auto"/>
        <w:left w:val="none" w:sz="0" w:space="0" w:color="auto"/>
        <w:bottom w:val="none" w:sz="0" w:space="0" w:color="auto"/>
        <w:right w:val="none" w:sz="0" w:space="0" w:color="auto"/>
      </w:divBdr>
    </w:div>
    <w:div w:id="1002974317">
      <w:bodyDiv w:val="1"/>
      <w:marLeft w:val="0"/>
      <w:marRight w:val="0"/>
      <w:marTop w:val="0"/>
      <w:marBottom w:val="0"/>
      <w:divBdr>
        <w:top w:val="none" w:sz="0" w:space="0" w:color="auto"/>
        <w:left w:val="none" w:sz="0" w:space="0" w:color="auto"/>
        <w:bottom w:val="none" w:sz="0" w:space="0" w:color="auto"/>
        <w:right w:val="none" w:sz="0" w:space="0" w:color="auto"/>
      </w:divBdr>
    </w:div>
    <w:div w:id="1104349365">
      <w:bodyDiv w:val="1"/>
      <w:marLeft w:val="0"/>
      <w:marRight w:val="0"/>
      <w:marTop w:val="0"/>
      <w:marBottom w:val="0"/>
      <w:divBdr>
        <w:top w:val="none" w:sz="0" w:space="0" w:color="auto"/>
        <w:left w:val="none" w:sz="0" w:space="0" w:color="auto"/>
        <w:bottom w:val="none" w:sz="0" w:space="0" w:color="auto"/>
        <w:right w:val="none" w:sz="0" w:space="0" w:color="auto"/>
      </w:divBdr>
    </w:div>
    <w:div w:id="1230068484">
      <w:bodyDiv w:val="1"/>
      <w:marLeft w:val="0"/>
      <w:marRight w:val="0"/>
      <w:marTop w:val="0"/>
      <w:marBottom w:val="0"/>
      <w:divBdr>
        <w:top w:val="none" w:sz="0" w:space="0" w:color="auto"/>
        <w:left w:val="none" w:sz="0" w:space="0" w:color="auto"/>
        <w:bottom w:val="none" w:sz="0" w:space="0" w:color="auto"/>
        <w:right w:val="none" w:sz="0" w:space="0" w:color="auto"/>
      </w:divBdr>
    </w:div>
    <w:div w:id="1581718371">
      <w:bodyDiv w:val="1"/>
      <w:marLeft w:val="0"/>
      <w:marRight w:val="0"/>
      <w:marTop w:val="0"/>
      <w:marBottom w:val="0"/>
      <w:divBdr>
        <w:top w:val="none" w:sz="0" w:space="0" w:color="auto"/>
        <w:left w:val="none" w:sz="0" w:space="0" w:color="auto"/>
        <w:bottom w:val="none" w:sz="0" w:space="0" w:color="auto"/>
        <w:right w:val="none" w:sz="0" w:space="0" w:color="auto"/>
      </w:divBdr>
    </w:div>
    <w:div w:id="1956525472">
      <w:bodyDiv w:val="1"/>
      <w:marLeft w:val="0"/>
      <w:marRight w:val="0"/>
      <w:marTop w:val="0"/>
      <w:marBottom w:val="0"/>
      <w:divBdr>
        <w:top w:val="none" w:sz="0" w:space="0" w:color="auto"/>
        <w:left w:val="none" w:sz="0" w:space="0" w:color="auto"/>
        <w:bottom w:val="none" w:sz="0" w:space="0" w:color="auto"/>
        <w:right w:val="none" w:sz="0" w:space="0" w:color="auto"/>
      </w:divBdr>
    </w:div>
    <w:div w:id="1974679172">
      <w:bodyDiv w:val="1"/>
      <w:marLeft w:val="0"/>
      <w:marRight w:val="0"/>
      <w:marTop w:val="0"/>
      <w:marBottom w:val="0"/>
      <w:divBdr>
        <w:top w:val="none" w:sz="0" w:space="0" w:color="auto"/>
        <w:left w:val="none" w:sz="0" w:space="0" w:color="auto"/>
        <w:bottom w:val="none" w:sz="0" w:space="0" w:color="auto"/>
        <w:right w:val="none" w:sz="0" w:space="0" w:color="auto"/>
      </w:divBdr>
    </w:div>
    <w:div w:id="2088770925">
      <w:bodyDiv w:val="1"/>
      <w:marLeft w:val="0"/>
      <w:marRight w:val="0"/>
      <w:marTop w:val="0"/>
      <w:marBottom w:val="0"/>
      <w:divBdr>
        <w:top w:val="none" w:sz="0" w:space="0" w:color="auto"/>
        <w:left w:val="none" w:sz="0" w:space="0" w:color="auto"/>
        <w:bottom w:val="none" w:sz="0" w:space="0" w:color="auto"/>
        <w:right w:val="none" w:sz="0" w:space="0" w:color="auto"/>
      </w:divBdr>
    </w:div>
    <w:div w:id="2109960703">
      <w:bodyDiv w:val="1"/>
      <w:marLeft w:val="0"/>
      <w:marRight w:val="0"/>
      <w:marTop w:val="0"/>
      <w:marBottom w:val="0"/>
      <w:divBdr>
        <w:top w:val="none" w:sz="0" w:space="0" w:color="auto"/>
        <w:left w:val="none" w:sz="0" w:space="0" w:color="auto"/>
        <w:bottom w:val="none" w:sz="0" w:space="0" w:color="auto"/>
        <w:right w:val="none" w:sz="0" w:space="0" w:color="auto"/>
      </w:divBdr>
    </w:div>
    <w:div w:id="213282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ologie.gouv.fr/appels-projets-fonds-mobilites-actives-amenagements-cyclab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loda/article_lc/LEGIARTI000037107748" TargetMode="External"/><Relationship Id="rId2" Type="http://schemas.openxmlformats.org/officeDocument/2006/relationships/hyperlink" Target="https://www.velo-territoires.org/politiques-cyclables/data-velo-modeles-donnees/schema-donnees-amenagements-cyclables/" TargetMode="External"/><Relationship Id="rId1" Type="http://schemas.openxmlformats.org/officeDocument/2006/relationships/hyperlink" Target="https://barometre.parlons-velo.fr/2021/car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31610-A5B1-4434-8E78-BD24FB9D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4269</Words>
  <Characters>23485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Appel à Manifestation d’intérêt</vt:lpstr>
    </vt:vector>
  </TitlesOfParts>
  <Company>MTES</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Manifestation d’intérêt</dc:title>
  <dc:subject/>
  <dc:creator>TREMEAC Yann</dc:creator>
  <dc:description/>
  <cp:lastModifiedBy>yohan.planche@developpement-durable.gouv.fr</cp:lastModifiedBy>
  <cp:revision>4</cp:revision>
  <cp:lastPrinted>2023-01-18T17:00:00Z</cp:lastPrinted>
  <dcterms:created xsi:type="dcterms:W3CDTF">2023-11-16T09:40:00Z</dcterms:created>
  <dcterms:modified xsi:type="dcterms:W3CDTF">2023-11-20T17:35:00Z</dcterms:modified>
  <dc:language>fr-FR</dc:language>
</cp:coreProperties>
</file>